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5CC" w:rsidRDefault="004105CC">
      <w:r>
        <w:rPr>
          <w:noProof/>
        </w:rPr>
        <w:drawing>
          <wp:anchor distT="0" distB="0" distL="114300" distR="114300" simplePos="0" relativeHeight="251658240" behindDoc="0" locked="0" layoutInCell="1" allowOverlap="0">
            <wp:simplePos x="0" y="0"/>
            <wp:positionH relativeFrom="column">
              <wp:posOffset>-204470</wp:posOffset>
            </wp:positionH>
            <wp:positionV relativeFrom="margin">
              <wp:align>top</wp:align>
            </wp:positionV>
            <wp:extent cx="901700" cy="900430"/>
            <wp:effectExtent l="19050" t="0" r="0" b="0"/>
            <wp:wrapThrough wrapText="bothSides">
              <wp:wrapPolygon edited="0">
                <wp:start x="6845" y="0"/>
                <wp:lineTo x="4107" y="1371"/>
                <wp:lineTo x="-456" y="5941"/>
                <wp:lineTo x="-456" y="15994"/>
                <wp:lineTo x="5476" y="21021"/>
                <wp:lineTo x="6845" y="21021"/>
                <wp:lineTo x="14603" y="21021"/>
                <wp:lineTo x="15972" y="21021"/>
                <wp:lineTo x="21448" y="15994"/>
                <wp:lineTo x="21448" y="5484"/>
                <wp:lineTo x="17341" y="1371"/>
                <wp:lineTo x="14603" y="0"/>
                <wp:lineTo x="684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900430"/>
                    </a:xfrm>
                    <a:prstGeom prst="rect">
                      <a:avLst/>
                    </a:prstGeom>
                  </pic:spPr>
                </pic:pic>
              </a:graphicData>
            </a:graphic>
          </wp:anchor>
        </w:drawing>
      </w:r>
    </w:p>
    <w:p w:rsidR="004105CC" w:rsidRPr="00CB2AAA" w:rsidRDefault="004105CC" w:rsidP="004105CC">
      <w:pPr>
        <w:rPr>
          <w:rFonts w:ascii="Trajan Pro" w:hAnsi="Trajan Pro"/>
          <w:b/>
          <w:sz w:val="28"/>
          <w:szCs w:val="28"/>
        </w:rPr>
      </w:pPr>
      <w:r w:rsidRPr="00CB2AAA">
        <w:rPr>
          <w:rFonts w:ascii="Trajan Pro" w:hAnsi="Trajan Pro"/>
          <w:b/>
          <w:sz w:val="28"/>
          <w:szCs w:val="28"/>
        </w:rPr>
        <w:t>MINISTERUL FINANȚELOR</w:t>
      </w:r>
    </w:p>
    <w:p w:rsidR="004105CC" w:rsidRPr="00CB2AAA" w:rsidRDefault="00AC407A" w:rsidP="004105CC">
      <w:pPr>
        <w:rPr>
          <w:rFonts w:ascii="Trebuchet MS" w:hAnsi="Trebuchet MS"/>
          <w:sz w:val="24"/>
          <w:szCs w:val="24"/>
        </w:rPr>
      </w:pPr>
      <w:r>
        <w:rPr>
          <w:rFonts w:ascii="Trebuchet MS" w:hAnsi="Trebuchet MS"/>
          <w:sz w:val="24"/>
          <w:szCs w:val="24"/>
        </w:rPr>
        <w:t>Serviciul</w:t>
      </w:r>
      <w:r w:rsidR="00043E06">
        <w:rPr>
          <w:rFonts w:ascii="Trebuchet MS" w:hAnsi="Trebuchet MS"/>
          <w:sz w:val="24"/>
          <w:szCs w:val="24"/>
        </w:rPr>
        <w:t xml:space="preserve"> de </w:t>
      </w:r>
      <w:r>
        <w:rPr>
          <w:rFonts w:ascii="Trebuchet MS" w:hAnsi="Trebuchet MS"/>
          <w:sz w:val="24"/>
          <w:szCs w:val="24"/>
        </w:rPr>
        <w:t>Comunicare, Relații</w:t>
      </w:r>
      <w:r w:rsidR="00043E06">
        <w:rPr>
          <w:rFonts w:ascii="Trebuchet MS" w:hAnsi="Trebuchet MS"/>
          <w:sz w:val="24"/>
          <w:szCs w:val="24"/>
        </w:rPr>
        <w:t xml:space="preserve"> </w:t>
      </w:r>
      <w:r>
        <w:rPr>
          <w:rFonts w:ascii="Trebuchet MS" w:hAnsi="Trebuchet MS"/>
          <w:sz w:val="24"/>
          <w:szCs w:val="24"/>
        </w:rPr>
        <w:t>Publice, Mass Media și</w:t>
      </w:r>
      <w:r w:rsidR="00043E06">
        <w:rPr>
          <w:rFonts w:ascii="Trebuchet MS" w:hAnsi="Trebuchet MS"/>
          <w:sz w:val="24"/>
          <w:szCs w:val="24"/>
        </w:rPr>
        <w:t xml:space="preserve"> </w:t>
      </w:r>
      <w:r>
        <w:rPr>
          <w:rFonts w:ascii="Trebuchet MS" w:hAnsi="Trebuchet MS"/>
          <w:sz w:val="24"/>
          <w:szCs w:val="24"/>
        </w:rPr>
        <w:t>Transparență</w:t>
      </w:r>
    </w:p>
    <w:p w:rsidR="00043E06" w:rsidRDefault="00043E06" w:rsidP="00043E06">
      <w:pPr>
        <w:rPr>
          <w:rFonts w:ascii="Trebuchet MS" w:hAnsi="Trebuchet MS"/>
          <w:b/>
          <w:bCs/>
          <w:sz w:val="24"/>
          <w:szCs w:val="24"/>
          <w:lang w:val="ro-RO"/>
        </w:rPr>
      </w:pPr>
    </w:p>
    <w:p w:rsidR="00D13BEE" w:rsidRPr="00C36158" w:rsidRDefault="002F5E16" w:rsidP="004105CC">
      <w:pPr>
        <w:rPr>
          <w:rFonts w:ascii="Trebuchet MS" w:hAnsi="Trebuchet MS"/>
          <w:b/>
          <w:bCs/>
          <w:sz w:val="24"/>
          <w:szCs w:val="24"/>
          <w:lang w:val="ro-RO"/>
        </w:rPr>
      </w:pPr>
      <w:r w:rsidRPr="00C36158">
        <w:rPr>
          <w:rFonts w:ascii="Trebuchet MS" w:hAnsi="Trebuchet MS"/>
          <w:b/>
          <w:bCs/>
          <w:sz w:val="24"/>
          <w:szCs w:val="24"/>
          <w:lang w:val="ro-RO"/>
        </w:rPr>
        <w:t>Do</w:t>
      </w:r>
      <w:r w:rsidR="00ED0E9D" w:rsidRPr="00C36158">
        <w:rPr>
          <w:rFonts w:ascii="Trebuchet MS" w:hAnsi="Trebuchet MS"/>
          <w:b/>
          <w:bCs/>
          <w:sz w:val="24"/>
          <w:szCs w:val="24"/>
          <w:lang w:val="ro-RO"/>
        </w:rPr>
        <w:t>a</w:t>
      </w:r>
      <w:r w:rsidRPr="00C36158">
        <w:rPr>
          <w:rFonts w:ascii="Trebuchet MS" w:hAnsi="Trebuchet MS"/>
          <w:b/>
          <w:bCs/>
          <w:sz w:val="24"/>
          <w:szCs w:val="24"/>
          <w:lang w:val="ro-RO"/>
        </w:rPr>
        <w:t>mn</w:t>
      </w:r>
      <w:r w:rsidR="00ED0E9D" w:rsidRPr="00C36158">
        <w:rPr>
          <w:rFonts w:ascii="Trebuchet MS" w:hAnsi="Trebuchet MS"/>
          <w:b/>
          <w:bCs/>
          <w:sz w:val="24"/>
          <w:szCs w:val="24"/>
          <w:lang w:val="ro-RO"/>
        </w:rPr>
        <w:t>e</w:t>
      </w:r>
      <w:r w:rsidRPr="00C36158">
        <w:rPr>
          <w:rFonts w:ascii="Trebuchet MS" w:hAnsi="Trebuchet MS"/>
          <w:b/>
          <w:bCs/>
          <w:sz w:val="24"/>
          <w:szCs w:val="24"/>
          <w:lang w:val="ro-RO"/>
        </w:rPr>
        <w:t xml:space="preserve">i </w:t>
      </w:r>
      <w:r w:rsidR="00C36158" w:rsidRPr="00C36158">
        <w:rPr>
          <w:rFonts w:ascii="Trebuchet MS" w:hAnsi="Trebuchet MS"/>
          <w:b/>
          <w:bCs/>
          <w:sz w:val="24"/>
          <w:szCs w:val="24"/>
          <w:lang w:val="ro-RO"/>
        </w:rPr>
        <w:t>Elena Deacu</w:t>
      </w:r>
    </w:p>
    <w:p w:rsidR="002F5E16" w:rsidRPr="00C36158" w:rsidRDefault="004402FD" w:rsidP="00EF6046">
      <w:pPr>
        <w:jc w:val="both"/>
        <w:rPr>
          <w:rFonts w:ascii="Trebuchet MS" w:hAnsi="Trebuchet MS"/>
          <w:b/>
          <w:sz w:val="24"/>
          <w:szCs w:val="24"/>
        </w:rPr>
      </w:pPr>
      <w:r w:rsidRPr="00C36158">
        <w:rPr>
          <w:rFonts w:ascii="Trebuchet MS" w:hAnsi="Trebuchet MS"/>
          <w:b/>
          <w:sz w:val="24"/>
          <w:szCs w:val="24"/>
        </w:rPr>
        <w:t xml:space="preserve">Jurnalist </w:t>
      </w:r>
      <w:r w:rsidR="00C36158" w:rsidRPr="00C36158">
        <w:rPr>
          <w:rFonts w:ascii="Trebuchet MS" w:hAnsi="Trebuchet MS"/>
          <w:b/>
          <w:sz w:val="24"/>
          <w:szCs w:val="24"/>
        </w:rPr>
        <w:t>”Economedia”</w:t>
      </w:r>
    </w:p>
    <w:p w:rsidR="00F364BB" w:rsidRPr="00C36158" w:rsidRDefault="002F5E16" w:rsidP="00EF6046">
      <w:pPr>
        <w:jc w:val="both"/>
        <w:rPr>
          <w:rFonts w:ascii="Trebuchet MS" w:hAnsi="Trebuchet MS"/>
          <w:b/>
          <w:sz w:val="24"/>
          <w:szCs w:val="24"/>
        </w:rPr>
      </w:pPr>
      <w:r w:rsidRPr="00C36158">
        <w:rPr>
          <w:rFonts w:ascii="Trebuchet MS" w:hAnsi="Trebuchet MS"/>
          <w:b/>
          <w:sz w:val="24"/>
          <w:szCs w:val="24"/>
        </w:rPr>
        <w:t xml:space="preserve"> </w:t>
      </w:r>
    </w:p>
    <w:p w:rsidR="00CE2383" w:rsidRPr="00CE2383" w:rsidRDefault="00922741" w:rsidP="00CE2383">
      <w:pPr>
        <w:jc w:val="both"/>
        <w:rPr>
          <w:rFonts w:ascii="Trebuchet MS" w:hAnsi="Trebuchet MS" w:cs="Arial"/>
          <w:color w:val="000000"/>
          <w:sz w:val="24"/>
          <w:szCs w:val="24"/>
          <w:lang w:val="ro-RO"/>
        </w:rPr>
      </w:pPr>
      <w:r w:rsidRPr="00C36158">
        <w:rPr>
          <w:rFonts w:ascii="Trebuchet MS" w:hAnsi="Trebuchet MS" w:cs="Arial"/>
          <w:bCs/>
          <w:sz w:val="24"/>
          <w:szCs w:val="24"/>
          <w:lang w:val="fr-FR"/>
        </w:rPr>
        <w:t xml:space="preserve">Referitor la </w:t>
      </w:r>
      <w:r w:rsidR="00715B66" w:rsidRPr="00C36158">
        <w:rPr>
          <w:rFonts w:ascii="Trebuchet MS" w:hAnsi="Trebuchet MS" w:cs="Arial"/>
          <w:bCs/>
          <w:sz w:val="24"/>
          <w:szCs w:val="24"/>
          <w:lang w:val="fr-FR"/>
        </w:rPr>
        <w:t>solicitarea</w:t>
      </w:r>
      <w:r w:rsidRPr="00C36158">
        <w:rPr>
          <w:rFonts w:ascii="Trebuchet MS" w:hAnsi="Trebuchet MS" w:cs="Arial"/>
          <w:bCs/>
          <w:sz w:val="24"/>
          <w:szCs w:val="24"/>
          <w:lang w:val="fr-FR"/>
        </w:rPr>
        <w:t xml:space="preserve"> dumneavoastră</w:t>
      </w:r>
      <w:r w:rsidR="004402FD" w:rsidRPr="00C36158">
        <w:rPr>
          <w:rFonts w:ascii="Trebuchet MS" w:hAnsi="Trebuchet MS" w:cs="Arial"/>
          <w:bCs/>
          <w:sz w:val="24"/>
          <w:szCs w:val="24"/>
          <w:lang w:val="ro-RO"/>
        </w:rPr>
        <w:t>,</w:t>
      </w:r>
      <w:r w:rsidR="007D4BE7" w:rsidRPr="00C36158">
        <w:rPr>
          <w:rFonts w:ascii="Trebuchet MS" w:hAnsi="Trebuchet MS" w:cs="Arial"/>
          <w:color w:val="000000"/>
          <w:sz w:val="24"/>
          <w:szCs w:val="24"/>
          <w:lang w:val="ro-RO"/>
        </w:rPr>
        <w:t xml:space="preserve"> </w:t>
      </w:r>
      <w:r w:rsidR="00CB1D6B">
        <w:rPr>
          <w:rFonts w:ascii="Trebuchet MS" w:hAnsi="Trebuchet MS" w:cs="Arial"/>
          <w:color w:val="000000"/>
          <w:sz w:val="24"/>
          <w:szCs w:val="24"/>
          <w:lang w:val="ro-RO"/>
        </w:rPr>
        <w:t xml:space="preserve">formulată în contextul adoptării recente a </w:t>
      </w:r>
      <w:r w:rsidR="00CE2383" w:rsidRPr="00CE2383">
        <w:rPr>
          <w:rFonts w:ascii="Trebuchet MS" w:hAnsi="Trebuchet MS" w:cs="Arial"/>
          <w:bCs/>
          <w:color w:val="000000"/>
          <w:sz w:val="24"/>
          <w:szCs w:val="24"/>
          <w:lang w:val="ro-RO"/>
        </w:rPr>
        <w:t xml:space="preserve">Legii nr. 39/2023 </w:t>
      </w:r>
      <w:r w:rsidR="00CE2383" w:rsidRPr="00CE2383">
        <w:rPr>
          <w:rFonts w:ascii="Trebuchet MS" w:hAnsi="Trebuchet MS" w:cs="Arial"/>
          <w:bCs/>
          <w:i/>
          <w:color w:val="000000"/>
          <w:sz w:val="24"/>
          <w:szCs w:val="24"/>
        </w:rPr>
        <w:t xml:space="preserve">pentru completarea art. 291 alin. (3) din Legea nr. 227/2015 privind Codul fiscal </w:t>
      </w:r>
      <w:r w:rsidR="00CE2383" w:rsidRPr="00CE2383">
        <w:rPr>
          <w:rFonts w:ascii="Trebuchet MS" w:hAnsi="Trebuchet MS" w:cs="Arial"/>
          <w:bCs/>
          <w:color w:val="000000"/>
          <w:sz w:val="24"/>
          <w:szCs w:val="24"/>
        </w:rPr>
        <w:t xml:space="preserve">(denumită în continuare </w:t>
      </w:r>
      <w:r w:rsidR="00CE2383" w:rsidRPr="00CE2383">
        <w:rPr>
          <w:rFonts w:ascii="Trebuchet MS" w:hAnsi="Trebuchet MS" w:cs="Arial"/>
          <w:bCs/>
          <w:i/>
          <w:color w:val="000000"/>
          <w:sz w:val="24"/>
          <w:szCs w:val="24"/>
        </w:rPr>
        <w:t>Legea nr. 39/2023</w:t>
      </w:r>
      <w:r w:rsidR="00CE2383" w:rsidRPr="00CE2383">
        <w:rPr>
          <w:rFonts w:ascii="Trebuchet MS" w:hAnsi="Trebuchet MS" w:cs="Arial"/>
          <w:bCs/>
          <w:color w:val="000000"/>
          <w:sz w:val="24"/>
          <w:szCs w:val="24"/>
        </w:rPr>
        <w:t>)</w:t>
      </w:r>
      <w:r w:rsidR="00CE2383" w:rsidRPr="00CE2383">
        <w:rPr>
          <w:rFonts w:ascii="Trebuchet MS" w:hAnsi="Trebuchet MS" w:cs="Arial"/>
          <w:bCs/>
          <w:i/>
          <w:color w:val="000000"/>
          <w:sz w:val="24"/>
          <w:szCs w:val="24"/>
        </w:rPr>
        <w:t xml:space="preserve">, </w:t>
      </w:r>
      <w:r w:rsidR="00CE2383" w:rsidRPr="00CE2383">
        <w:rPr>
          <w:rFonts w:ascii="Trebuchet MS" w:hAnsi="Trebuchet MS" w:cs="Arial"/>
          <w:bCs/>
          <w:color w:val="000000"/>
          <w:sz w:val="24"/>
          <w:szCs w:val="24"/>
        </w:rPr>
        <w:t>prin care se prevede aplicarea cotei reduse de TVA de 5% pentru livrarea și instalarea, în anumite condiții, de panouri fotovoltaice, panouri solare termice</w:t>
      </w:r>
      <w:r w:rsidR="00CE2383" w:rsidRPr="00CE2383">
        <w:rPr>
          <w:rFonts w:ascii="Trebuchet MS" w:hAnsi="Trebuchet MS" w:cs="Arial"/>
          <w:bCs/>
          <w:i/>
          <w:color w:val="000000"/>
          <w:sz w:val="24"/>
          <w:szCs w:val="24"/>
        </w:rPr>
        <w:t xml:space="preserve"> </w:t>
      </w:r>
      <w:r w:rsidR="00CE2383" w:rsidRPr="00CE2383">
        <w:rPr>
          <w:rFonts w:ascii="Trebuchet MS" w:hAnsi="Trebuchet MS" w:cs="Arial"/>
          <w:bCs/>
          <w:color w:val="000000"/>
          <w:sz w:val="24"/>
          <w:szCs w:val="24"/>
        </w:rPr>
        <w:t>și sisteme de încălzire cu emisii scăzute de înaltă eficiență, vă comunicăm următoarele:</w:t>
      </w:r>
    </w:p>
    <w:p w:rsidR="00CE2383" w:rsidRPr="00CE2383" w:rsidRDefault="00CE2383" w:rsidP="00CE2383">
      <w:pPr>
        <w:jc w:val="both"/>
        <w:rPr>
          <w:rFonts w:ascii="Trebuchet MS" w:hAnsi="Trebuchet MS" w:cs="Arial"/>
          <w:bCs/>
          <w:color w:val="000000"/>
          <w:sz w:val="24"/>
          <w:szCs w:val="24"/>
        </w:rPr>
      </w:pPr>
      <w:r w:rsidRPr="00CE2383">
        <w:rPr>
          <w:rFonts w:ascii="Trebuchet MS" w:hAnsi="Trebuchet MS" w:cs="Arial"/>
          <w:bCs/>
          <w:color w:val="000000"/>
          <w:sz w:val="24"/>
          <w:szCs w:val="24"/>
        </w:rPr>
        <w:t>Inițiativa legislativă (Pl-x nr. 670/2022) care a stat la baza adoptării acestei măsuri nu a aparținut Guvernului, ci mai multor deputați și senatori din diferite grupuri parlamentare. Senatul, în calitate de primă Camera sesizată, a respins propunerea legislativă, aceasta fiind transmisă, spre dezbatere și adoptate, Camerei Deputaților, în calitate de Cameră decizională.</w:t>
      </w:r>
    </w:p>
    <w:p w:rsidR="00CE2383" w:rsidRPr="00CE2383" w:rsidRDefault="00CE2383" w:rsidP="00CE2383">
      <w:pPr>
        <w:jc w:val="both"/>
        <w:rPr>
          <w:rFonts w:ascii="Trebuchet MS" w:hAnsi="Trebuchet MS" w:cs="Arial"/>
          <w:bCs/>
          <w:color w:val="000000"/>
          <w:sz w:val="24"/>
          <w:szCs w:val="24"/>
        </w:rPr>
      </w:pPr>
      <w:r w:rsidRPr="00CE2383">
        <w:rPr>
          <w:rFonts w:ascii="Trebuchet MS" w:hAnsi="Trebuchet MS" w:cs="Arial"/>
          <w:bCs/>
          <w:color w:val="000000"/>
          <w:sz w:val="24"/>
          <w:szCs w:val="24"/>
        </w:rPr>
        <w:t>Legea nr. 39/2023 a fost adoptată de Parlamentul României în forma amendată față de cea a inițiatorilor, respectiv în forma propusă și admisă de către Comisia pentru industrii și servicii și Comisia pentru buget, finanțe și bănci din cadrul Camerei Deputaților, comisii ce au fost sesizate, spre dezbatere în fond, cu respectiva propunere.</w:t>
      </w:r>
    </w:p>
    <w:p w:rsidR="00CE2383" w:rsidRPr="00CE2383" w:rsidRDefault="00CE2383" w:rsidP="00CE2383">
      <w:pPr>
        <w:jc w:val="both"/>
        <w:rPr>
          <w:rFonts w:ascii="Trebuchet MS" w:hAnsi="Trebuchet MS" w:cs="Arial"/>
          <w:bCs/>
          <w:color w:val="000000"/>
          <w:sz w:val="24"/>
          <w:szCs w:val="24"/>
        </w:rPr>
      </w:pPr>
      <w:r w:rsidRPr="00CE2383">
        <w:rPr>
          <w:rFonts w:ascii="Trebuchet MS" w:hAnsi="Trebuchet MS" w:cs="Arial"/>
          <w:bCs/>
          <w:color w:val="000000"/>
          <w:sz w:val="24"/>
          <w:szCs w:val="24"/>
        </w:rPr>
        <w:t xml:space="preserve">Deși textul ambelor dispoziții adoptate prin Legea nr. 39/2023 a fost preluat, în principal, din cel prevăzut la </w:t>
      </w:r>
      <w:r w:rsidRPr="00CE2383">
        <w:rPr>
          <w:rFonts w:ascii="Trebuchet MS" w:hAnsi="Trebuchet MS" w:cs="Arial"/>
          <w:bCs/>
          <w:color w:val="000000"/>
          <w:sz w:val="24"/>
          <w:szCs w:val="24"/>
          <w:lang w:val="it-IT"/>
        </w:rPr>
        <w:t xml:space="preserve">pct. 10c și (parțial) de la pct. 22 din anexa III la Directiva 2006/112/CE privind sistemul comun al taxei pe valoarea adăugată, acestea au adus și elemente suplimentare față de prevederile comunitare, cum ar fi sintagma </w:t>
      </w:r>
      <w:r w:rsidRPr="00CE2383">
        <w:rPr>
          <w:rFonts w:ascii="Trebuchet MS" w:hAnsi="Trebuchet MS" w:cs="Arial"/>
          <w:b/>
          <w:bCs/>
          <w:i/>
          <w:color w:val="000000"/>
          <w:sz w:val="24"/>
          <w:szCs w:val="24"/>
        </w:rPr>
        <w:t>inclusiv a kiturilor de instalare, a componentelor, respectiv a soluţiilor complete, după caz,</w:t>
      </w:r>
      <w:r w:rsidRPr="00CE2383">
        <w:rPr>
          <w:rFonts w:ascii="Trebuchet MS" w:hAnsi="Trebuchet MS" w:cs="Arial"/>
          <w:bCs/>
          <w:color w:val="000000"/>
          <w:sz w:val="24"/>
          <w:szCs w:val="24"/>
        </w:rPr>
        <w:t xml:space="preserve"> care face obiectul majorității întrebărilor din solicitare.</w:t>
      </w:r>
    </w:p>
    <w:p w:rsidR="00CE2383" w:rsidRPr="00CE2383" w:rsidRDefault="00CE2383" w:rsidP="00CE2383">
      <w:pPr>
        <w:jc w:val="both"/>
        <w:rPr>
          <w:rFonts w:ascii="Trebuchet MS" w:hAnsi="Trebuchet MS" w:cs="Arial"/>
          <w:bCs/>
          <w:color w:val="000000"/>
          <w:sz w:val="24"/>
          <w:szCs w:val="24"/>
          <w:lang w:val="it-IT"/>
        </w:rPr>
      </w:pPr>
      <w:r w:rsidRPr="00CE2383">
        <w:rPr>
          <w:rFonts w:ascii="Trebuchet MS" w:hAnsi="Trebuchet MS" w:cs="Arial"/>
          <w:bCs/>
          <w:color w:val="000000"/>
          <w:sz w:val="24"/>
          <w:szCs w:val="24"/>
          <w:lang w:val="it-IT"/>
        </w:rPr>
        <w:t>Precizăm că, în vederea clarificării aspectelor care ridică probleme de aplicare, instituția noastră a inițiat demersuri la autoritățile competente, urmând ca după primirea răspunsurilor să analizeze oportunitatea unei intervenții legislative.</w:t>
      </w:r>
    </w:p>
    <w:p w:rsidR="00CE2383" w:rsidRPr="00CE2383" w:rsidRDefault="00CE2383" w:rsidP="00CE2383">
      <w:pPr>
        <w:jc w:val="both"/>
        <w:rPr>
          <w:rFonts w:ascii="Trebuchet MS" w:hAnsi="Trebuchet MS" w:cs="Arial"/>
          <w:bCs/>
          <w:color w:val="000000"/>
          <w:sz w:val="24"/>
          <w:szCs w:val="24"/>
          <w:lang w:val="it-IT"/>
        </w:rPr>
      </w:pPr>
      <w:r w:rsidRPr="00CE2383">
        <w:rPr>
          <w:rFonts w:ascii="Trebuchet MS" w:hAnsi="Trebuchet MS" w:cs="Arial"/>
          <w:bCs/>
          <w:color w:val="000000"/>
          <w:sz w:val="24"/>
          <w:szCs w:val="24"/>
          <w:lang w:val="it-IT"/>
        </w:rPr>
        <w:t>Totodată, amintim că în conformitate cu dispozițiile Codului de procedură fiscală, pentru stabilirea bazei de impozitare și dovedirea situaţiei de fapt fiscale, contribuabilii/plătitorii utilizează</w:t>
      </w:r>
      <w:r w:rsidRPr="00CE2383">
        <w:rPr>
          <w:rFonts w:ascii="Trebuchet MS" w:hAnsi="Trebuchet MS" w:cs="Arial"/>
          <w:color w:val="000000"/>
          <w:sz w:val="24"/>
          <w:szCs w:val="24"/>
        </w:rPr>
        <w:t xml:space="preserve"> </w:t>
      </w:r>
      <w:r w:rsidRPr="00CE2383">
        <w:rPr>
          <w:rFonts w:ascii="Trebuchet MS" w:hAnsi="Trebuchet MS" w:cs="Arial"/>
          <w:bCs/>
          <w:color w:val="000000"/>
          <w:sz w:val="24"/>
          <w:szCs w:val="24"/>
          <w:lang w:val="it-IT"/>
        </w:rPr>
        <w:t>orice probă şi mijloc de probă prevăzute de lege.</w:t>
      </w:r>
    </w:p>
    <w:p w:rsidR="00CE2383" w:rsidRDefault="00CE2383" w:rsidP="004402FD">
      <w:pPr>
        <w:jc w:val="both"/>
        <w:rPr>
          <w:rFonts w:ascii="Trebuchet MS" w:hAnsi="Trebuchet MS" w:cs="Arial"/>
          <w:color w:val="000000"/>
          <w:sz w:val="24"/>
          <w:szCs w:val="24"/>
          <w:lang w:val="ro-RO"/>
        </w:rPr>
      </w:pPr>
      <w:bookmarkStart w:id="0" w:name="_GoBack"/>
      <w:bookmarkEnd w:id="0"/>
    </w:p>
    <w:p w:rsidR="00CE2383" w:rsidRDefault="00CE2383" w:rsidP="004402FD">
      <w:pPr>
        <w:jc w:val="both"/>
        <w:rPr>
          <w:rFonts w:ascii="Trebuchet MS" w:hAnsi="Trebuchet MS" w:cs="Arial"/>
          <w:color w:val="000000"/>
          <w:sz w:val="24"/>
          <w:szCs w:val="24"/>
          <w:lang w:val="ro-RO"/>
        </w:rPr>
      </w:pPr>
    </w:p>
    <w:p w:rsidR="00CB2AAA" w:rsidRPr="00C36158" w:rsidRDefault="00043E06" w:rsidP="00EF6046">
      <w:pPr>
        <w:spacing w:after="0" w:line="360" w:lineRule="auto"/>
        <w:jc w:val="both"/>
        <w:rPr>
          <w:sz w:val="24"/>
          <w:szCs w:val="24"/>
        </w:rPr>
      </w:pPr>
      <w:r w:rsidRPr="00C36158">
        <w:rPr>
          <w:rFonts w:ascii="Trebuchet MS" w:hAnsi="Trebuchet MS"/>
          <w:b/>
          <w:sz w:val="24"/>
          <w:szCs w:val="24"/>
        </w:rPr>
        <w:t>Biroul de relații cu mass-media</w:t>
      </w:r>
      <w:r w:rsidR="001E3A6D" w:rsidRPr="00C36158">
        <w:rPr>
          <w:sz w:val="24"/>
          <w:szCs w:val="24"/>
        </w:rPr>
        <w:tab/>
      </w:r>
    </w:p>
    <w:sectPr w:rsidR="00CB2AAA" w:rsidRPr="00C36158" w:rsidSect="00DC5CB1">
      <w:footerReference w:type="default" r:id="rId9"/>
      <w:pgSz w:w="11907" w:h="16840" w:code="9"/>
      <w:pgMar w:top="851" w:right="927" w:bottom="1134" w:left="16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69" w:rsidRDefault="00D63A69" w:rsidP="004105CC">
      <w:pPr>
        <w:spacing w:after="0" w:line="240" w:lineRule="auto"/>
      </w:pPr>
      <w:r>
        <w:separator/>
      </w:r>
    </w:p>
  </w:endnote>
  <w:endnote w:type="continuationSeparator" w:id="0">
    <w:p w:rsidR="00D63A69" w:rsidRDefault="00D63A69" w:rsidP="0041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774751"/>
      <w:docPartObj>
        <w:docPartGallery w:val="Page Numbers (Bottom of Page)"/>
        <w:docPartUnique/>
      </w:docPartObj>
    </w:sdtPr>
    <w:sdtEndPr/>
    <w:sdtContent>
      <w:sdt>
        <w:sdtPr>
          <w:id w:val="-1769616900"/>
          <w:docPartObj>
            <w:docPartGallery w:val="Page Numbers (Top of Page)"/>
            <w:docPartUnique/>
          </w:docPartObj>
        </w:sdtPr>
        <w:sdtEndPr/>
        <w:sdtContent>
          <w:p w:rsidR="00F364BB" w:rsidRDefault="00F364BB" w:rsidP="002C027A">
            <w:pPr>
              <w:pStyle w:val="Footer"/>
              <w:rPr>
                <w:rFonts w:ascii="Trebuchet MS" w:hAnsi="Trebuchet MS"/>
                <w:sz w:val="18"/>
                <w:szCs w:val="18"/>
              </w:rPr>
            </w:pPr>
          </w:p>
          <w:p w:rsidR="00F364BB" w:rsidRDefault="00F364BB" w:rsidP="00E9154B">
            <w:pPr>
              <w:pStyle w:val="Footer"/>
              <w:rPr>
                <w:rFonts w:ascii="Trebuchet MS" w:hAnsi="Trebuchet MS"/>
                <w:sz w:val="18"/>
                <w:szCs w:val="18"/>
              </w:rPr>
            </w:pPr>
          </w:p>
          <w:p w:rsidR="00F364BB" w:rsidRPr="00CB2AAA" w:rsidRDefault="00F364BB" w:rsidP="00E9154B">
            <w:pPr>
              <w:pStyle w:val="Footer"/>
              <w:jc w:val="right"/>
            </w:pPr>
            <w:r>
              <w:t xml:space="preserve">Page </w:t>
            </w:r>
            <w:r w:rsidR="004D7B43" w:rsidRPr="00CB2AAA">
              <w:rPr>
                <w:bCs/>
                <w:sz w:val="24"/>
                <w:szCs w:val="24"/>
              </w:rPr>
              <w:fldChar w:fldCharType="begin"/>
            </w:r>
            <w:r w:rsidRPr="00CB2AAA">
              <w:rPr>
                <w:bCs/>
              </w:rPr>
              <w:instrText xml:space="preserve"> PAGE </w:instrText>
            </w:r>
            <w:r w:rsidR="004D7B43" w:rsidRPr="00CB2AAA">
              <w:rPr>
                <w:bCs/>
                <w:sz w:val="24"/>
                <w:szCs w:val="24"/>
              </w:rPr>
              <w:fldChar w:fldCharType="separate"/>
            </w:r>
            <w:r w:rsidR="00CE2383">
              <w:rPr>
                <w:bCs/>
                <w:noProof/>
              </w:rPr>
              <w:t>1</w:t>
            </w:r>
            <w:r w:rsidR="004D7B43" w:rsidRPr="00CB2AAA">
              <w:rPr>
                <w:bCs/>
                <w:sz w:val="24"/>
                <w:szCs w:val="24"/>
              </w:rPr>
              <w:fldChar w:fldCharType="end"/>
            </w:r>
            <w:r w:rsidRPr="00CB2AAA">
              <w:rPr>
                <w:bCs/>
                <w:sz w:val="24"/>
                <w:szCs w:val="24"/>
              </w:rPr>
              <w:t>/</w:t>
            </w:r>
            <w:r w:rsidR="004D7B43" w:rsidRPr="00CB2AAA">
              <w:rPr>
                <w:bCs/>
                <w:sz w:val="24"/>
                <w:szCs w:val="24"/>
              </w:rPr>
              <w:fldChar w:fldCharType="begin"/>
            </w:r>
            <w:r w:rsidRPr="00CB2AAA">
              <w:rPr>
                <w:bCs/>
              </w:rPr>
              <w:instrText xml:space="preserve"> NUMPAGES  </w:instrText>
            </w:r>
            <w:r w:rsidR="004D7B43" w:rsidRPr="00CB2AAA">
              <w:rPr>
                <w:bCs/>
                <w:sz w:val="24"/>
                <w:szCs w:val="24"/>
              </w:rPr>
              <w:fldChar w:fldCharType="separate"/>
            </w:r>
            <w:r w:rsidR="00CE2383">
              <w:rPr>
                <w:bCs/>
                <w:noProof/>
              </w:rPr>
              <w:t>1</w:t>
            </w:r>
            <w:r w:rsidR="004D7B43" w:rsidRPr="00CB2AAA">
              <w:rPr>
                <w:bCs/>
                <w:sz w:val="24"/>
                <w:szCs w:val="24"/>
              </w:rPr>
              <w:fldChar w:fldCharType="end"/>
            </w:r>
          </w:p>
        </w:sdtContent>
      </w:sdt>
    </w:sdtContent>
  </w:sdt>
  <w:p w:rsidR="00F364BB" w:rsidRDefault="00F364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69" w:rsidRDefault="00D63A69" w:rsidP="004105CC">
      <w:pPr>
        <w:spacing w:after="0" w:line="240" w:lineRule="auto"/>
      </w:pPr>
      <w:r>
        <w:separator/>
      </w:r>
    </w:p>
  </w:footnote>
  <w:footnote w:type="continuationSeparator" w:id="0">
    <w:p w:rsidR="00D63A69" w:rsidRDefault="00D63A69" w:rsidP="00410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6D9"/>
    <w:multiLevelType w:val="hybridMultilevel"/>
    <w:tmpl w:val="3320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73AF4"/>
    <w:multiLevelType w:val="multilevel"/>
    <w:tmpl w:val="AC6E72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6AA757D"/>
    <w:multiLevelType w:val="hybridMultilevel"/>
    <w:tmpl w:val="57B67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144D7"/>
    <w:multiLevelType w:val="hybridMultilevel"/>
    <w:tmpl w:val="FC08696C"/>
    <w:lvl w:ilvl="0" w:tplc="F3BC1A30">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86698"/>
    <w:multiLevelType w:val="hybridMultilevel"/>
    <w:tmpl w:val="20D87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90699"/>
    <w:multiLevelType w:val="hybridMultilevel"/>
    <w:tmpl w:val="A3103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E1EE8"/>
    <w:multiLevelType w:val="hybridMultilevel"/>
    <w:tmpl w:val="E7C4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84F40"/>
    <w:multiLevelType w:val="hybridMultilevel"/>
    <w:tmpl w:val="362241FC"/>
    <w:lvl w:ilvl="0" w:tplc="88BC12A8">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507AC"/>
    <w:multiLevelType w:val="hybridMultilevel"/>
    <w:tmpl w:val="F35EF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15ECB"/>
    <w:multiLevelType w:val="hybridMultilevel"/>
    <w:tmpl w:val="9C76E5DA"/>
    <w:lvl w:ilvl="0" w:tplc="0409000B">
      <w:start w:val="1"/>
      <w:numFmt w:val="bullet"/>
      <w:lvlText w:val=""/>
      <w:lvlJc w:val="left"/>
      <w:pPr>
        <w:ind w:left="1636" w:hanging="360"/>
      </w:pPr>
      <w:rPr>
        <w:rFonts w:ascii="Wingdings" w:hAnsi="Wingding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75C42640"/>
    <w:multiLevelType w:val="hybridMultilevel"/>
    <w:tmpl w:val="03B24008"/>
    <w:lvl w:ilvl="0" w:tplc="82FA3BD6">
      <w:numFmt w:val="bullet"/>
      <w:lvlText w:val="-"/>
      <w:lvlJc w:val="left"/>
      <w:pPr>
        <w:ind w:left="720" w:hanging="360"/>
      </w:pPr>
      <w:rPr>
        <w:rFonts w:ascii="Trebuchet MS" w:eastAsia="SimSu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75330"/>
    <w:multiLevelType w:val="hybridMultilevel"/>
    <w:tmpl w:val="425E847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9"/>
  </w:num>
  <w:num w:numId="5">
    <w:abstractNumId w:val="2"/>
  </w:num>
  <w:num w:numId="6">
    <w:abstractNumId w:val="3"/>
  </w:num>
  <w:num w:numId="7">
    <w:abstractNumId w:val="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5CC"/>
    <w:rsid w:val="00011EDB"/>
    <w:rsid w:val="00022B36"/>
    <w:rsid w:val="0002431F"/>
    <w:rsid w:val="0002791F"/>
    <w:rsid w:val="00035B89"/>
    <w:rsid w:val="00043E06"/>
    <w:rsid w:val="00044B30"/>
    <w:rsid w:val="00046CF4"/>
    <w:rsid w:val="00052BCF"/>
    <w:rsid w:val="0007406E"/>
    <w:rsid w:val="00076371"/>
    <w:rsid w:val="000A0CE2"/>
    <w:rsid w:val="00110AFF"/>
    <w:rsid w:val="00112057"/>
    <w:rsid w:val="001170A9"/>
    <w:rsid w:val="001453B3"/>
    <w:rsid w:val="00160E76"/>
    <w:rsid w:val="001718AD"/>
    <w:rsid w:val="00173686"/>
    <w:rsid w:val="00177341"/>
    <w:rsid w:val="00187795"/>
    <w:rsid w:val="00187B9F"/>
    <w:rsid w:val="00195B36"/>
    <w:rsid w:val="001D3851"/>
    <w:rsid w:val="001E3A6D"/>
    <w:rsid w:val="002058F4"/>
    <w:rsid w:val="002248B1"/>
    <w:rsid w:val="00233B40"/>
    <w:rsid w:val="00240BE1"/>
    <w:rsid w:val="00264F2A"/>
    <w:rsid w:val="00266519"/>
    <w:rsid w:val="00276201"/>
    <w:rsid w:val="00293C27"/>
    <w:rsid w:val="002B7537"/>
    <w:rsid w:val="002C027A"/>
    <w:rsid w:val="002D23D2"/>
    <w:rsid w:val="002D637B"/>
    <w:rsid w:val="002F5E16"/>
    <w:rsid w:val="002F7D69"/>
    <w:rsid w:val="00303CC9"/>
    <w:rsid w:val="00315C1F"/>
    <w:rsid w:val="0031643E"/>
    <w:rsid w:val="00330B19"/>
    <w:rsid w:val="003523B9"/>
    <w:rsid w:val="0036553D"/>
    <w:rsid w:val="003A003E"/>
    <w:rsid w:val="003D3972"/>
    <w:rsid w:val="003E5DE4"/>
    <w:rsid w:val="003F717B"/>
    <w:rsid w:val="004105CC"/>
    <w:rsid w:val="004402FD"/>
    <w:rsid w:val="00494609"/>
    <w:rsid w:val="004A61EC"/>
    <w:rsid w:val="004B0BCB"/>
    <w:rsid w:val="004D7B43"/>
    <w:rsid w:val="004F0D53"/>
    <w:rsid w:val="004F712E"/>
    <w:rsid w:val="00506D16"/>
    <w:rsid w:val="00524D0A"/>
    <w:rsid w:val="00560BA4"/>
    <w:rsid w:val="00567B84"/>
    <w:rsid w:val="00591B88"/>
    <w:rsid w:val="006E3E2F"/>
    <w:rsid w:val="007011AA"/>
    <w:rsid w:val="00707753"/>
    <w:rsid w:val="00715B66"/>
    <w:rsid w:val="00717964"/>
    <w:rsid w:val="00720CE7"/>
    <w:rsid w:val="00720FC1"/>
    <w:rsid w:val="0072224B"/>
    <w:rsid w:val="00727043"/>
    <w:rsid w:val="007335D8"/>
    <w:rsid w:val="00754155"/>
    <w:rsid w:val="00790B57"/>
    <w:rsid w:val="007B4B63"/>
    <w:rsid w:val="007C5CA1"/>
    <w:rsid w:val="007C7510"/>
    <w:rsid w:val="007D4BE7"/>
    <w:rsid w:val="007E4BA8"/>
    <w:rsid w:val="007F2023"/>
    <w:rsid w:val="00812D12"/>
    <w:rsid w:val="0087031B"/>
    <w:rsid w:val="00922741"/>
    <w:rsid w:val="00944591"/>
    <w:rsid w:val="00946F49"/>
    <w:rsid w:val="00967948"/>
    <w:rsid w:val="00970F00"/>
    <w:rsid w:val="009B2023"/>
    <w:rsid w:val="009C2DF8"/>
    <w:rsid w:val="009F4490"/>
    <w:rsid w:val="00A379AB"/>
    <w:rsid w:val="00A473CC"/>
    <w:rsid w:val="00A564E9"/>
    <w:rsid w:val="00A641C2"/>
    <w:rsid w:val="00A875E2"/>
    <w:rsid w:val="00AB6512"/>
    <w:rsid w:val="00AC407A"/>
    <w:rsid w:val="00AD3CF2"/>
    <w:rsid w:val="00AD45B1"/>
    <w:rsid w:val="00AD6ED9"/>
    <w:rsid w:val="00B03F5F"/>
    <w:rsid w:val="00B24AA9"/>
    <w:rsid w:val="00B4231D"/>
    <w:rsid w:val="00B42C66"/>
    <w:rsid w:val="00B6239D"/>
    <w:rsid w:val="00B747E6"/>
    <w:rsid w:val="00BE1ED5"/>
    <w:rsid w:val="00C32F50"/>
    <w:rsid w:val="00C36158"/>
    <w:rsid w:val="00C668FA"/>
    <w:rsid w:val="00C67001"/>
    <w:rsid w:val="00C8250D"/>
    <w:rsid w:val="00C8265E"/>
    <w:rsid w:val="00CB12C9"/>
    <w:rsid w:val="00CB1D6B"/>
    <w:rsid w:val="00CB2AAA"/>
    <w:rsid w:val="00CB6EC1"/>
    <w:rsid w:val="00CE2383"/>
    <w:rsid w:val="00CE558A"/>
    <w:rsid w:val="00CF5AEF"/>
    <w:rsid w:val="00D13BEE"/>
    <w:rsid w:val="00D54426"/>
    <w:rsid w:val="00D63A69"/>
    <w:rsid w:val="00D905ED"/>
    <w:rsid w:val="00DB6D71"/>
    <w:rsid w:val="00DC5CB1"/>
    <w:rsid w:val="00DE2B07"/>
    <w:rsid w:val="00E3358A"/>
    <w:rsid w:val="00E54C31"/>
    <w:rsid w:val="00E600C6"/>
    <w:rsid w:val="00E63EC6"/>
    <w:rsid w:val="00E71998"/>
    <w:rsid w:val="00E9154B"/>
    <w:rsid w:val="00EA6EFE"/>
    <w:rsid w:val="00EB3ECD"/>
    <w:rsid w:val="00EC0DE6"/>
    <w:rsid w:val="00EC4C78"/>
    <w:rsid w:val="00ED0E9D"/>
    <w:rsid w:val="00ED7ECF"/>
    <w:rsid w:val="00EE5BF8"/>
    <w:rsid w:val="00EF6046"/>
    <w:rsid w:val="00F25FAC"/>
    <w:rsid w:val="00F364BB"/>
    <w:rsid w:val="00F401E1"/>
    <w:rsid w:val="00F834A7"/>
    <w:rsid w:val="00F93C3F"/>
    <w:rsid w:val="00FC665F"/>
    <w:rsid w:val="00FD6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9153"/>
  <w15:docId w15:val="{73FC93DD-8A5A-4997-9D39-45FC7AD2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5CC"/>
    <w:pPr>
      <w:tabs>
        <w:tab w:val="center" w:pos="4680"/>
        <w:tab w:val="right" w:pos="9360"/>
      </w:tabs>
      <w:spacing w:after="0" w:line="240" w:lineRule="auto"/>
    </w:pPr>
  </w:style>
  <w:style w:type="character" w:customStyle="1" w:styleId="HeaderChar">
    <w:name w:val="Header Char"/>
    <w:basedOn w:val="DefaultParagraphFont"/>
    <w:link w:val="Header"/>
    <w:rsid w:val="004105CC"/>
  </w:style>
  <w:style w:type="paragraph" w:styleId="Footer">
    <w:name w:val="footer"/>
    <w:basedOn w:val="Normal"/>
    <w:link w:val="FooterChar"/>
    <w:uiPriority w:val="99"/>
    <w:unhideWhenUsed/>
    <w:rsid w:val="00410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5CC"/>
  </w:style>
  <w:style w:type="character" w:styleId="Hyperlink">
    <w:name w:val="Hyperlink"/>
    <w:basedOn w:val="DefaultParagraphFont"/>
    <w:uiPriority w:val="99"/>
    <w:unhideWhenUsed/>
    <w:rsid w:val="00E9154B"/>
    <w:rPr>
      <w:color w:val="0563C1" w:themeColor="hyperlink"/>
      <w:u w:val="single"/>
    </w:rPr>
  </w:style>
  <w:style w:type="paragraph" w:styleId="ListParagraph">
    <w:name w:val="List Paragraph"/>
    <w:basedOn w:val="Normal"/>
    <w:uiPriority w:val="34"/>
    <w:qFormat/>
    <w:rsid w:val="007C5CA1"/>
    <w:pPr>
      <w:ind w:left="720"/>
      <w:contextualSpacing/>
    </w:pPr>
  </w:style>
  <w:style w:type="paragraph" w:customStyle="1" w:styleId="xxmsonormal">
    <w:name w:val="x_xmsonormal"/>
    <w:basedOn w:val="Normal"/>
    <w:rsid w:val="002C027A"/>
    <w:pPr>
      <w:spacing w:after="0" w:line="240" w:lineRule="auto"/>
    </w:pPr>
    <w:rPr>
      <w:rFonts w:ascii="Times New Roman" w:eastAsia="Calibri" w:hAnsi="Times New Roman" w:cs="Times New Roman"/>
      <w:sz w:val="24"/>
      <w:szCs w:val="24"/>
    </w:rPr>
  </w:style>
  <w:style w:type="paragraph" w:customStyle="1" w:styleId="DefaultText">
    <w:name w:val="Default Text"/>
    <w:basedOn w:val="Normal"/>
    <w:rsid w:val="00ED7ECF"/>
    <w:pPr>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otnoteTextChar">
    <w:name w:val="Footnote Text Char"/>
    <w:aliases w:val="Footnote Char,Fußnote Char1,Fußnotentext Char Char,Podrozdział Char,Footnote Text Char Char Char,single space Char,footnote text Char,FOOTNOTES Char,fn Char1,fn Char Char Char Char,fn Char Char Char1,fn Char Char1,Fußnote Char Char"/>
    <w:basedOn w:val="DefaultParagraphFont"/>
    <w:link w:val="FootnoteText"/>
    <w:uiPriority w:val="99"/>
    <w:semiHidden/>
    <w:locked/>
    <w:rsid w:val="00922741"/>
    <w:rPr>
      <w:lang w:val="en-GB"/>
    </w:rPr>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
    <w:basedOn w:val="Normal"/>
    <w:link w:val="FootnoteTextChar"/>
    <w:uiPriority w:val="99"/>
    <w:semiHidden/>
    <w:unhideWhenUsed/>
    <w:qFormat/>
    <w:rsid w:val="00922741"/>
    <w:pPr>
      <w:spacing w:after="0" w:line="240" w:lineRule="auto"/>
    </w:pPr>
    <w:rPr>
      <w:lang w:val="en-GB"/>
    </w:rPr>
  </w:style>
  <w:style w:type="character" w:customStyle="1" w:styleId="FootnoteTextChar1">
    <w:name w:val="Footnote Text Char1"/>
    <w:basedOn w:val="DefaultParagraphFont"/>
    <w:uiPriority w:val="99"/>
    <w:semiHidden/>
    <w:rsid w:val="00922741"/>
    <w:rPr>
      <w:sz w:val="20"/>
      <w:szCs w:val="20"/>
    </w:rPr>
  </w:style>
  <w:style w:type="character" w:styleId="FootnoteReference">
    <w:name w:val="footnote reference"/>
    <w:aliases w:val="BVI fnr,Footnote Reference Number,Times 10 Point,Exposant 3 Point,Footnote symbol,Footnote reference number,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unhideWhenUsed/>
    <w:qFormat/>
    <w:rsid w:val="00922741"/>
    <w:rPr>
      <w:vertAlign w:val="superscript"/>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922741"/>
    <w:pPr>
      <w:spacing w:line="240" w:lineRule="exact"/>
    </w:pPr>
    <w:rPr>
      <w:vertAlign w:val="superscript"/>
    </w:rPr>
  </w:style>
  <w:style w:type="paragraph" w:styleId="BalloonText">
    <w:name w:val="Balloon Text"/>
    <w:basedOn w:val="Normal"/>
    <w:link w:val="BalloonTextChar"/>
    <w:uiPriority w:val="99"/>
    <w:semiHidden/>
    <w:unhideWhenUsed/>
    <w:rsid w:val="00EF6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46"/>
    <w:rPr>
      <w:rFonts w:ascii="Tahoma" w:hAnsi="Tahoma" w:cs="Tahoma"/>
      <w:sz w:val="16"/>
      <w:szCs w:val="16"/>
    </w:rPr>
  </w:style>
  <w:style w:type="paragraph" w:styleId="BodyText3">
    <w:name w:val="Body Text 3"/>
    <w:basedOn w:val="Normal"/>
    <w:link w:val="BodyText3Char"/>
    <w:rsid w:val="002F5E16"/>
    <w:pPr>
      <w:spacing w:after="0" w:line="240" w:lineRule="auto"/>
      <w:jc w:val="both"/>
    </w:pPr>
    <w:rPr>
      <w:rFonts w:ascii="Times New Roman" w:eastAsia="Times New Roman" w:hAnsi="Times New Roman" w:cs="Times New Roman"/>
      <w:sz w:val="28"/>
      <w:szCs w:val="20"/>
      <w:lang w:val="en-GB"/>
    </w:rPr>
  </w:style>
  <w:style w:type="character" w:customStyle="1" w:styleId="BodyText3Char">
    <w:name w:val="Body Text 3 Char"/>
    <w:basedOn w:val="DefaultParagraphFont"/>
    <w:link w:val="BodyText3"/>
    <w:rsid w:val="002F5E16"/>
    <w:rPr>
      <w:rFonts w:ascii="Times New Roman" w:eastAsia="Times New Roman" w:hAnsi="Times New Roman" w:cs="Times New Roman"/>
      <w:sz w:val="28"/>
      <w:szCs w:val="20"/>
      <w:lang w:val="en-GB"/>
    </w:rPr>
  </w:style>
  <w:style w:type="paragraph" w:customStyle="1" w:styleId="CaracterCaracter">
    <w:name w:val="Caracter Caracter"/>
    <w:basedOn w:val="Normal"/>
    <w:rsid w:val="002F5E16"/>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6646">
      <w:bodyDiv w:val="1"/>
      <w:marLeft w:val="0"/>
      <w:marRight w:val="0"/>
      <w:marTop w:val="0"/>
      <w:marBottom w:val="0"/>
      <w:divBdr>
        <w:top w:val="none" w:sz="0" w:space="0" w:color="auto"/>
        <w:left w:val="none" w:sz="0" w:space="0" w:color="auto"/>
        <w:bottom w:val="none" w:sz="0" w:space="0" w:color="auto"/>
        <w:right w:val="none" w:sz="0" w:space="0" w:color="auto"/>
      </w:divBdr>
    </w:div>
    <w:div w:id="636378417">
      <w:bodyDiv w:val="1"/>
      <w:marLeft w:val="0"/>
      <w:marRight w:val="0"/>
      <w:marTop w:val="0"/>
      <w:marBottom w:val="0"/>
      <w:divBdr>
        <w:top w:val="none" w:sz="0" w:space="0" w:color="auto"/>
        <w:left w:val="none" w:sz="0" w:space="0" w:color="auto"/>
        <w:bottom w:val="none" w:sz="0" w:space="0" w:color="auto"/>
        <w:right w:val="none" w:sz="0" w:space="0" w:color="auto"/>
      </w:divBdr>
    </w:div>
    <w:div w:id="885798696">
      <w:bodyDiv w:val="1"/>
      <w:marLeft w:val="0"/>
      <w:marRight w:val="0"/>
      <w:marTop w:val="0"/>
      <w:marBottom w:val="0"/>
      <w:divBdr>
        <w:top w:val="none" w:sz="0" w:space="0" w:color="auto"/>
        <w:left w:val="none" w:sz="0" w:space="0" w:color="auto"/>
        <w:bottom w:val="none" w:sz="0" w:space="0" w:color="auto"/>
        <w:right w:val="none" w:sz="0" w:space="0" w:color="auto"/>
      </w:divBdr>
    </w:div>
    <w:div w:id="1152715886">
      <w:bodyDiv w:val="1"/>
      <w:marLeft w:val="0"/>
      <w:marRight w:val="0"/>
      <w:marTop w:val="0"/>
      <w:marBottom w:val="0"/>
      <w:divBdr>
        <w:top w:val="none" w:sz="0" w:space="0" w:color="auto"/>
        <w:left w:val="none" w:sz="0" w:space="0" w:color="auto"/>
        <w:bottom w:val="none" w:sz="0" w:space="0" w:color="auto"/>
        <w:right w:val="none" w:sz="0" w:space="0" w:color="auto"/>
      </w:divBdr>
    </w:div>
    <w:div w:id="1259800880">
      <w:bodyDiv w:val="1"/>
      <w:marLeft w:val="0"/>
      <w:marRight w:val="0"/>
      <w:marTop w:val="0"/>
      <w:marBottom w:val="0"/>
      <w:divBdr>
        <w:top w:val="none" w:sz="0" w:space="0" w:color="auto"/>
        <w:left w:val="none" w:sz="0" w:space="0" w:color="auto"/>
        <w:bottom w:val="none" w:sz="0" w:space="0" w:color="auto"/>
        <w:right w:val="none" w:sz="0" w:space="0" w:color="auto"/>
      </w:divBdr>
    </w:div>
    <w:div w:id="1406950418">
      <w:bodyDiv w:val="1"/>
      <w:marLeft w:val="0"/>
      <w:marRight w:val="0"/>
      <w:marTop w:val="0"/>
      <w:marBottom w:val="0"/>
      <w:divBdr>
        <w:top w:val="none" w:sz="0" w:space="0" w:color="auto"/>
        <w:left w:val="none" w:sz="0" w:space="0" w:color="auto"/>
        <w:bottom w:val="none" w:sz="0" w:space="0" w:color="auto"/>
        <w:right w:val="none" w:sz="0" w:space="0" w:color="auto"/>
      </w:divBdr>
    </w:div>
    <w:div w:id="1565798444">
      <w:bodyDiv w:val="1"/>
      <w:marLeft w:val="0"/>
      <w:marRight w:val="0"/>
      <w:marTop w:val="0"/>
      <w:marBottom w:val="0"/>
      <w:divBdr>
        <w:top w:val="none" w:sz="0" w:space="0" w:color="auto"/>
        <w:left w:val="none" w:sz="0" w:space="0" w:color="auto"/>
        <w:bottom w:val="none" w:sz="0" w:space="0" w:color="auto"/>
        <w:right w:val="none" w:sz="0" w:space="0" w:color="auto"/>
      </w:divBdr>
    </w:div>
    <w:div w:id="1664964225">
      <w:bodyDiv w:val="1"/>
      <w:marLeft w:val="0"/>
      <w:marRight w:val="0"/>
      <w:marTop w:val="0"/>
      <w:marBottom w:val="0"/>
      <w:divBdr>
        <w:top w:val="none" w:sz="0" w:space="0" w:color="auto"/>
        <w:left w:val="none" w:sz="0" w:space="0" w:color="auto"/>
        <w:bottom w:val="none" w:sz="0" w:space="0" w:color="auto"/>
        <w:right w:val="none" w:sz="0" w:space="0" w:color="auto"/>
      </w:divBdr>
    </w:div>
    <w:div w:id="17173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A0CF-837D-4DBB-9ED4-D9FF5F7D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CRISTIAN-NICOLAE MARIN</dc:creator>
  <cp:lastModifiedBy>56858436</cp:lastModifiedBy>
  <cp:revision>14</cp:revision>
  <cp:lastPrinted>2022-07-20T08:22:00Z</cp:lastPrinted>
  <dcterms:created xsi:type="dcterms:W3CDTF">2022-11-02T10:22:00Z</dcterms:created>
  <dcterms:modified xsi:type="dcterms:W3CDTF">2023-02-08T08:59:00Z</dcterms:modified>
</cp:coreProperties>
</file>