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97" w:rsidRPr="007A45A8" w:rsidRDefault="00E07997" w:rsidP="007A45A8">
      <w:pPr>
        <w:pStyle w:val="Title"/>
        <w:spacing w:after="120" w:line="276" w:lineRule="auto"/>
        <w:rPr>
          <w:sz w:val="24"/>
          <w:szCs w:val="24"/>
        </w:rPr>
      </w:pPr>
      <w:r w:rsidRPr="007A45A8">
        <w:rPr>
          <w:sz w:val="24"/>
          <w:szCs w:val="24"/>
        </w:rPr>
        <w:t xml:space="preserve">           </w:t>
      </w:r>
    </w:p>
    <w:p w:rsidR="005C5778" w:rsidRDefault="005C5778" w:rsidP="007A45A8">
      <w:pPr>
        <w:pStyle w:val="Title"/>
        <w:spacing w:after="12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64777F" w:rsidRDefault="0064777F" w:rsidP="007A45A8">
      <w:pPr>
        <w:pStyle w:val="Title"/>
        <w:spacing w:after="120" w:line="276" w:lineRule="auto"/>
        <w:rPr>
          <w:sz w:val="24"/>
          <w:szCs w:val="24"/>
        </w:rPr>
      </w:pPr>
      <w:r w:rsidRPr="007A45A8">
        <w:rPr>
          <w:sz w:val="24"/>
          <w:szCs w:val="24"/>
        </w:rPr>
        <w:t>NOTĂ DE FUNDAMENTARE</w:t>
      </w:r>
    </w:p>
    <w:p w:rsidR="00305233" w:rsidRDefault="00305233" w:rsidP="007A45A8">
      <w:pPr>
        <w:pStyle w:val="Title"/>
        <w:spacing w:after="120" w:line="276" w:lineRule="auto"/>
        <w:rPr>
          <w:sz w:val="24"/>
          <w:szCs w:val="24"/>
        </w:rPr>
      </w:pPr>
    </w:p>
    <w:p w:rsidR="00305233" w:rsidRPr="007A45A8" w:rsidRDefault="00305233" w:rsidP="007A45A8">
      <w:pPr>
        <w:pStyle w:val="Title"/>
        <w:spacing w:after="120" w:line="276" w:lineRule="auto"/>
        <w:rPr>
          <w:sz w:val="24"/>
          <w:szCs w:val="24"/>
        </w:rPr>
      </w:pPr>
    </w:p>
    <w:p w:rsidR="00223491" w:rsidRPr="007A45A8" w:rsidRDefault="00223491" w:rsidP="007A45A8">
      <w:pPr>
        <w:pStyle w:val="Title"/>
        <w:spacing w:line="276" w:lineRule="auto"/>
        <w:ind w:firstLine="720"/>
        <w:rPr>
          <w:sz w:val="24"/>
          <w:szCs w:val="24"/>
        </w:rPr>
      </w:pPr>
      <w:r w:rsidRPr="007A45A8">
        <w:rPr>
          <w:sz w:val="24"/>
          <w:szCs w:val="24"/>
        </w:rPr>
        <w:t>Secțiunea 1</w:t>
      </w:r>
    </w:p>
    <w:p w:rsidR="00223491" w:rsidRDefault="00223491" w:rsidP="007A45A8">
      <w:pPr>
        <w:pStyle w:val="Title"/>
        <w:spacing w:line="276" w:lineRule="auto"/>
        <w:ind w:firstLine="720"/>
        <w:rPr>
          <w:sz w:val="24"/>
          <w:szCs w:val="24"/>
        </w:rPr>
      </w:pPr>
      <w:r w:rsidRPr="007A45A8">
        <w:rPr>
          <w:sz w:val="24"/>
          <w:szCs w:val="24"/>
        </w:rPr>
        <w:t>Titlul proiectului de act normativ</w:t>
      </w:r>
    </w:p>
    <w:p w:rsidR="00305233" w:rsidRPr="007A45A8" w:rsidRDefault="00305233" w:rsidP="007A45A8">
      <w:pPr>
        <w:pStyle w:val="Title"/>
        <w:spacing w:line="276" w:lineRule="auto"/>
        <w:ind w:firstLine="720"/>
        <w:rPr>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E44C4" w:rsidRPr="007A45A8" w:rsidTr="00223491">
        <w:tc>
          <w:tcPr>
            <w:tcW w:w="10490" w:type="dxa"/>
          </w:tcPr>
          <w:p w:rsidR="004E44C4" w:rsidRPr="007A45A8" w:rsidRDefault="004E44C4" w:rsidP="007A45A8">
            <w:pPr>
              <w:spacing w:line="276" w:lineRule="auto"/>
              <w:jc w:val="center"/>
              <w:rPr>
                <w:b/>
              </w:rPr>
            </w:pPr>
            <w:r w:rsidRPr="007A45A8">
              <w:rPr>
                <w:b/>
              </w:rPr>
              <w:t>Ordonanță de urgență</w:t>
            </w:r>
            <w:r w:rsidR="003E4AD3" w:rsidRPr="007A45A8">
              <w:rPr>
                <w:b/>
              </w:rPr>
              <w:t xml:space="preserve"> </w:t>
            </w:r>
            <w:r w:rsidRPr="007A45A8">
              <w:rPr>
                <w:b/>
              </w:rPr>
              <w:t>pentru modificarea şi completarea unor acte normative</w:t>
            </w:r>
          </w:p>
          <w:p w:rsidR="00670C79" w:rsidRPr="007A45A8" w:rsidRDefault="004E44C4" w:rsidP="007A45A8">
            <w:pPr>
              <w:widowControl w:val="0"/>
              <w:spacing w:after="120" w:line="276" w:lineRule="auto"/>
              <w:jc w:val="center"/>
              <w:rPr>
                <w:b/>
                <w:lang w:eastAsia="ro-RO"/>
              </w:rPr>
            </w:pPr>
            <w:r w:rsidRPr="007A45A8">
              <w:rPr>
                <w:b/>
              </w:rPr>
              <w:t>în domeniul pensiilor private</w:t>
            </w:r>
          </w:p>
        </w:tc>
      </w:tr>
    </w:tbl>
    <w:p w:rsidR="00B15401" w:rsidRPr="007A45A8" w:rsidRDefault="00B15401" w:rsidP="007A45A8">
      <w:pPr>
        <w:spacing w:after="120" w:line="276" w:lineRule="auto"/>
        <w:ind w:firstLine="720"/>
        <w:jc w:val="center"/>
        <w:rPr>
          <w:b/>
          <w:lang w:eastAsia="ro-RO"/>
        </w:rPr>
      </w:pPr>
    </w:p>
    <w:p w:rsidR="00223491" w:rsidRPr="007A45A8" w:rsidRDefault="00C5468F" w:rsidP="007A45A8">
      <w:pPr>
        <w:spacing w:line="276" w:lineRule="auto"/>
        <w:ind w:firstLine="720"/>
        <w:jc w:val="center"/>
        <w:rPr>
          <w:b/>
          <w:lang w:eastAsia="ro-RO"/>
        </w:rPr>
      </w:pPr>
      <w:r w:rsidRPr="007A45A8">
        <w:rPr>
          <w:b/>
          <w:lang w:eastAsia="ro-RO"/>
        </w:rPr>
        <w:t>Secțiunea</w:t>
      </w:r>
      <w:r w:rsidR="00670C79" w:rsidRPr="007A45A8">
        <w:rPr>
          <w:b/>
          <w:lang w:eastAsia="ro-RO"/>
        </w:rPr>
        <w:t xml:space="preserve"> a 2-a</w:t>
      </w:r>
    </w:p>
    <w:p w:rsidR="00CB78C4" w:rsidRPr="007A45A8" w:rsidRDefault="00670C79" w:rsidP="007A45A8">
      <w:pPr>
        <w:spacing w:line="276" w:lineRule="auto"/>
        <w:ind w:firstLine="720"/>
        <w:jc w:val="center"/>
        <w:rPr>
          <w:b/>
          <w:lang w:eastAsia="ro-RO"/>
        </w:rPr>
      </w:pPr>
      <w:r w:rsidRPr="007A45A8">
        <w:rPr>
          <w:b/>
          <w:lang w:eastAsia="ro-RO"/>
        </w:rPr>
        <w:t>Motivul emiterii actului normativ</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E44C4" w:rsidRPr="007A45A8" w:rsidTr="00E669C2">
        <w:trPr>
          <w:trHeight w:val="841"/>
        </w:trPr>
        <w:tc>
          <w:tcPr>
            <w:tcW w:w="10490" w:type="dxa"/>
          </w:tcPr>
          <w:p w:rsidR="008441CD" w:rsidRPr="007A45A8" w:rsidRDefault="00223491" w:rsidP="007A45A8">
            <w:pPr>
              <w:autoSpaceDE w:val="0"/>
              <w:autoSpaceDN w:val="0"/>
              <w:adjustRightInd w:val="0"/>
              <w:spacing w:after="120" w:line="276" w:lineRule="auto"/>
              <w:jc w:val="both"/>
              <w:rPr>
                <w:lang w:eastAsia="ro-RO"/>
              </w:rPr>
            </w:pPr>
            <w:r w:rsidRPr="007A45A8">
              <w:rPr>
                <w:b/>
                <w:lang w:eastAsia="ro-RO"/>
              </w:rPr>
              <w:t>2.1 Sursa proiectului de act normativ</w:t>
            </w:r>
            <w:r w:rsidRPr="007A45A8">
              <w:rPr>
                <w:lang w:eastAsia="ro-RO"/>
              </w:rPr>
              <w:t xml:space="preserve"> </w:t>
            </w:r>
          </w:p>
          <w:p w:rsidR="00B94EC7" w:rsidRPr="007A45A8" w:rsidRDefault="00B94EC7" w:rsidP="007A45A8">
            <w:pPr>
              <w:pStyle w:val="xmsonormal"/>
              <w:spacing w:before="0" w:beforeAutospacing="0" w:after="0" w:afterAutospacing="0" w:line="276" w:lineRule="auto"/>
              <w:jc w:val="both"/>
            </w:pPr>
            <w:r w:rsidRPr="007A45A8">
              <w:t xml:space="preserve">Având în vedere contextul actual caracterizat de: </w:t>
            </w:r>
          </w:p>
          <w:p w:rsidR="00B94EC7" w:rsidRPr="007A45A8" w:rsidRDefault="00B94EC7" w:rsidP="007A45A8">
            <w:pPr>
              <w:pStyle w:val="xmsonormal"/>
              <w:numPr>
                <w:ilvl w:val="0"/>
                <w:numId w:val="15"/>
              </w:numPr>
              <w:spacing w:before="0" w:beforeAutospacing="0" w:after="0" w:afterAutospacing="0" w:line="276" w:lineRule="auto"/>
              <w:jc w:val="both"/>
            </w:pPr>
            <w:r w:rsidRPr="007A45A8">
              <w:t xml:space="preserve">nivelurile ridicate ale ratei inflației în zona Euro, </w:t>
            </w:r>
          </w:p>
          <w:p w:rsidR="00B94EC7" w:rsidRPr="007A45A8" w:rsidRDefault="00B94EC7" w:rsidP="007A45A8">
            <w:pPr>
              <w:pStyle w:val="xmsonormal"/>
              <w:numPr>
                <w:ilvl w:val="0"/>
                <w:numId w:val="15"/>
              </w:numPr>
              <w:spacing w:before="0" w:beforeAutospacing="0" w:after="0" w:afterAutospacing="0" w:line="276" w:lineRule="auto"/>
              <w:jc w:val="both"/>
            </w:pPr>
            <w:r w:rsidRPr="007A45A8">
              <w:t xml:space="preserve">fenomenul de creștere a prețurilor la energie, </w:t>
            </w:r>
          </w:p>
          <w:p w:rsidR="00B94EC7" w:rsidRPr="007A45A8" w:rsidRDefault="00B94EC7" w:rsidP="007A45A8">
            <w:pPr>
              <w:pStyle w:val="xmsonormal"/>
              <w:numPr>
                <w:ilvl w:val="0"/>
                <w:numId w:val="15"/>
              </w:numPr>
              <w:spacing w:before="0" w:beforeAutospacing="0" w:after="0" w:afterAutospacing="0" w:line="276" w:lineRule="auto"/>
              <w:jc w:val="both"/>
            </w:pPr>
            <w:r w:rsidRPr="007A45A8">
              <w:t>creșterea riscului de piață cauzată de o volatilitate ridicată pe piețele financiare. în contextul situației piețelor financiare din Uniunea Europeană marcate de deteriorarea echilibrelor macroeconomice generate de conflictul armat ruso-ucrainean,</w:t>
            </w:r>
          </w:p>
          <w:p w:rsidR="00B94EC7" w:rsidRPr="007A45A8" w:rsidRDefault="00B94EC7" w:rsidP="007A45A8">
            <w:pPr>
              <w:pStyle w:val="xmsonormal"/>
              <w:numPr>
                <w:ilvl w:val="0"/>
                <w:numId w:val="15"/>
              </w:numPr>
              <w:spacing w:before="0" w:beforeAutospacing="0" w:after="0" w:afterAutospacing="0" w:line="276" w:lineRule="auto"/>
              <w:jc w:val="both"/>
            </w:pPr>
            <w:r w:rsidRPr="007A45A8">
              <w:t>efectel</w:t>
            </w:r>
            <w:r w:rsidR="00C25506" w:rsidRPr="007A45A8">
              <w:t>e</w:t>
            </w:r>
            <w:r w:rsidRPr="007A45A8">
              <w:t xml:space="preserve"> volatilității ridicate din piețele financiare asupra portofoliilor de active ale fondurilor de pensii private, precum și modului în care acestea adoptă măsurile necesare pentru protejarea activelor participanților și beneficiarilor la sistemul de pensii private,</w:t>
            </w:r>
          </w:p>
          <w:p w:rsidR="00B94EC7" w:rsidRPr="007A45A8" w:rsidRDefault="00B94EC7" w:rsidP="007A45A8">
            <w:pPr>
              <w:pStyle w:val="xmsonormal"/>
              <w:numPr>
                <w:ilvl w:val="0"/>
                <w:numId w:val="15"/>
              </w:numPr>
              <w:spacing w:before="0" w:beforeAutospacing="0" w:after="0" w:afterAutospacing="0" w:line="276" w:lineRule="auto"/>
              <w:jc w:val="both"/>
            </w:pPr>
            <w:r w:rsidRPr="007A45A8">
              <w:t>deprecierea valorii titlurilor de stat aflate în portofoliile fondurilor de pensii,</w:t>
            </w:r>
          </w:p>
          <w:p w:rsidR="00B94EC7" w:rsidRPr="007A45A8" w:rsidRDefault="00B94EC7" w:rsidP="007A45A8">
            <w:pPr>
              <w:pStyle w:val="xmsonormal"/>
              <w:numPr>
                <w:ilvl w:val="0"/>
                <w:numId w:val="15"/>
              </w:numPr>
              <w:spacing w:before="0" w:beforeAutospacing="0" w:after="0" w:afterAutospacing="0" w:line="276" w:lineRule="auto"/>
              <w:jc w:val="both"/>
            </w:pPr>
            <w:r w:rsidRPr="007A45A8">
              <w:t>previziuni care arată încetinirea ritmului de creștere economică determinate, printre altele, și de fenomenul creșterii ratelor dobânzilor la împrumuturi,</w:t>
            </w:r>
          </w:p>
          <w:p w:rsidR="00B94EC7" w:rsidRPr="007A45A8" w:rsidRDefault="00B94EC7" w:rsidP="007A45A8">
            <w:pPr>
              <w:pStyle w:val="xmsonormal"/>
              <w:numPr>
                <w:ilvl w:val="0"/>
                <w:numId w:val="15"/>
              </w:numPr>
              <w:spacing w:before="0" w:beforeAutospacing="0" w:after="0" w:afterAutospacing="0" w:line="276" w:lineRule="auto"/>
              <w:jc w:val="both"/>
            </w:pPr>
            <w:r w:rsidRPr="007A45A8">
              <w:t>efectele crizei sanitare generate de pandemia de coronavirus care se resimt și în prezent,</w:t>
            </w:r>
          </w:p>
          <w:p w:rsidR="00B94EC7" w:rsidRPr="007A45A8" w:rsidRDefault="00B94EC7" w:rsidP="007A45A8">
            <w:pPr>
              <w:pStyle w:val="xmsonormal"/>
              <w:spacing w:before="0" w:beforeAutospacing="0" w:after="0" w:afterAutospacing="0" w:line="276" w:lineRule="auto"/>
              <w:jc w:val="both"/>
            </w:pPr>
          </w:p>
          <w:p w:rsidR="00B94EC7" w:rsidRPr="007A45A8" w:rsidRDefault="00B94EC7" w:rsidP="007A45A8">
            <w:pPr>
              <w:pStyle w:val="xmsonormal"/>
              <w:spacing w:before="0" w:beforeAutospacing="0" w:after="0" w:afterAutospacing="0" w:line="276" w:lineRule="auto"/>
              <w:jc w:val="both"/>
            </w:pPr>
            <w:r w:rsidRPr="007A45A8">
              <w:t>se impune adoptarea unor măsuri legislative, în regim de urgență, pentru a contracara posibilele efecte negative asupra sistemului de pensii private din România și asupra participanților la acest sistem.</w:t>
            </w:r>
          </w:p>
          <w:p w:rsidR="00FC0E8D" w:rsidRPr="007A45A8" w:rsidRDefault="00FC0E8D" w:rsidP="007A45A8">
            <w:pPr>
              <w:pStyle w:val="xmsonormal"/>
              <w:spacing w:before="0" w:beforeAutospacing="0" w:after="0" w:afterAutospacing="0" w:line="276" w:lineRule="auto"/>
              <w:jc w:val="both"/>
            </w:pPr>
          </w:p>
          <w:p w:rsidR="0028644E" w:rsidRPr="007A45A8" w:rsidRDefault="0028644E" w:rsidP="007A45A8">
            <w:pPr>
              <w:pStyle w:val="xmsonormal"/>
              <w:spacing w:before="0" w:beforeAutospacing="0" w:after="0" w:afterAutospacing="0" w:line="276" w:lineRule="auto"/>
              <w:jc w:val="both"/>
            </w:pPr>
            <w:r w:rsidRPr="007A45A8">
              <w:t xml:space="preserve">Aceste măsuri legislative referitoare la sistemul pensiilor private sunt în concordanță cu </w:t>
            </w:r>
            <w:r w:rsidR="00DB3F42" w:rsidRPr="007A45A8">
              <w:t xml:space="preserve">angajamentele </w:t>
            </w:r>
            <w:r w:rsidRPr="007A45A8">
              <w:t>asumate prin Planul Național de Redresare și Reziliență (P.N.R.R.).</w:t>
            </w:r>
          </w:p>
          <w:p w:rsidR="00361063" w:rsidRPr="007A45A8" w:rsidRDefault="00361063" w:rsidP="007A45A8">
            <w:pPr>
              <w:pStyle w:val="xmsonormal"/>
              <w:spacing w:before="0" w:beforeAutospacing="0" w:after="0" w:afterAutospacing="0" w:line="276" w:lineRule="auto"/>
              <w:jc w:val="both"/>
            </w:pPr>
          </w:p>
          <w:p w:rsidR="007A45A8" w:rsidRDefault="00B94EC7" w:rsidP="00EF048B">
            <w:pPr>
              <w:pStyle w:val="xmsonormal"/>
              <w:spacing w:before="0" w:beforeAutospacing="0" w:after="0" w:afterAutospacing="0" w:line="276" w:lineRule="auto"/>
              <w:jc w:val="both"/>
            </w:pPr>
            <w:r w:rsidRPr="007A45A8">
              <w:t xml:space="preserve">În acest sens, pentru a răspunde provocărilor actuale, s-a identificat necesitatea imediată de modificare și completare a cadrului de reglementare primar aplicabil sistemului de pensii private, în principal, Legea nr. 411/2004 </w:t>
            </w:r>
            <w:r w:rsidR="00682E0F" w:rsidRPr="007A45A8">
              <w:rPr>
                <w:bCs/>
              </w:rPr>
              <w:t>privind fondurile de pensii administrate privat, republicată, cu modificările și completările ulterioare</w:t>
            </w:r>
            <w:r w:rsidR="00682E0F" w:rsidRPr="007A45A8">
              <w:t xml:space="preserve"> </w:t>
            </w:r>
            <w:r w:rsidRPr="007A45A8">
              <w:t>și Legea nr. 204/2006</w:t>
            </w:r>
            <w:r w:rsidR="00682E0F" w:rsidRPr="007A45A8">
              <w:t xml:space="preserve"> </w:t>
            </w:r>
            <w:r w:rsidR="00682E0F" w:rsidRPr="007A45A8">
              <w:rPr>
                <w:bCs/>
              </w:rPr>
              <w:t>privind pensiile facultative, cu modificările și completările ulterioare</w:t>
            </w:r>
            <w:r w:rsidRPr="007A45A8">
              <w:t xml:space="preserve">, cu scopul de a întări capacitatea de supraveghere a Autorității de Supraveghere Financiară și de a impune o mai mare responsabilizare a administratorilor în ceea privește desfășurarea activității acestora, aceste modificări </w:t>
            </w:r>
            <w:r w:rsidRPr="007A45A8">
              <w:lastRenderedPageBreak/>
              <w:t>fiind aduse pentru a asigura o protecție suplimentară a activelor fondurilor de pensii private, în beneficiul participanților la aceste fonduri.</w:t>
            </w:r>
          </w:p>
          <w:p w:rsidR="00776F18" w:rsidRDefault="00776F18" w:rsidP="00EF048B">
            <w:pPr>
              <w:pStyle w:val="xmsonormal"/>
              <w:spacing w:before="0" w:beforeAutospacing="0" w:after="0" w:afterAutospacing="0" w:line="276" w:lineRule="auto"/>
              <w:jc w:val="both"/>
              <w:rPr>
                <w:b/>
                <w:lang w:eastAsia="ro-RO"/>
              </w:rPr>
            </w:pPr>
          </w:p>
          <w:p w:rsidR="00223491" w:rsidRPr="007A45A8" w:rsidRDefault="00223491" w:rsidP="007A45A8">
            <w:pPr>
              <w:autoSpaceDE w:val="0"/>
              <w:autoSpaceDN w:val="0"/>
              <w:adjustRightInd w:val="0"/>
              <w:spacing w:after="120" w:line="276" w:lineRule="auto"/>
              <w:jc w:val="both"/>
              <w:rPr>
                <w:b/>
                <w:lang w:eastAsia="ro-RO"/>
              </w:rPr>
            </w:pPr>
            <w:r w:rsidRPr="007A45A8">
              <w:rPr>
                <w:b/>
                <w:lang w:eastAsia="ro-RO"/>
              </w:rPr>
              <w:t>2.2 Descrierea situației actuale</w:t>
            </w:r>
          </w:p>
          <w:p w:rsidR="004E44C4" w:rsidRPr="007A45A8" w:rsidRDefault="00FB45DC" w:rsidP="007A45A8">
            <w:pPr>
              <w:spacing w:line="276" w:lineRule="auto"/>
              <w:jc w:val="both"/>
              <w:rPr>
                <w:bCs/>
              </w:rPr>
            </w:pPr>
            <w:r w:rsidRPr="007A45A8">
              <w:rPr>
                <w:lang w:eastAsia="ro-RO"/>
              </w:rPr>
              <w:t xml:space="preserve">    </w:t>
            </w:r>
            <w:r w:rsidR="004E44C4" w:rsidRPr="007A45A8">
              <w:rPr>
                <w:bCs/>
              </w:rPr>
              <w:t xml:space="preserve">În prezent, cadrul de reglementare care stabilește modul de funcționare a sistemului de pensii private, respectiv Pilonul II, Pilonul III și Fondul de Garantare a drepturilor din sistemul de pensii private, este stabilit prin prevederile Legii nr. 411/2004 privind fondurile de pensii administrate privat, republicată, cu modificările și completările ulterioare (Legea nr. 411/2004), ale Legii nr. 204/2006 privind pensiile facultative, cu modificările și completările ulterioare (Legea nr. 204/2006 ) și ale Legii nr. 187/2011 </w:t>
            </w:r>
            <w:r w:rsidR="004E44C4" w:rsidRPr="007A45A8">
              <w:t xml:space="preserve"> privind înfiinţarea, organizarea şi funcţionarea Fondului de garantare a drepturilor din sistemul de pensii private (Legea nr. 187/2011)</w:t>
            </w:r>
            <w:r w:rsidR="004E44C4" w:rsidRPr="007A45A8">
              <w:rPr>
                <w:bCs/>
              </w:rPr>
              <w:t>.</w:t>
            </w:r>
          </w:p>
          <w:p w:rsidR="004E44C4" w:rsidRPr="007A45A8" w:rsidRDefault="004E44C4" w:rsidP="007A45A8">
            <w:pPr>
              <w:spacing w:line="276" w:lineRule="auto"/>
              <w:jc w:val="both"/>
            </w:pPr>
            <w:r w:rsidRPr="007A45A8">
              <w:t>Pentru întărirea cadrului de reglementare primar din sistemul pensiilor private în ceea ce privește guvernanța corporativă, cadrul investițional, regimul sancționatoriu, etc. au fost avute în vedere o serie de modificări ale reglementărilor menționate.</w:t>
            </w:r>
          </w:p>
          <w:p w:rsidR="004E44C4" w:rsidRPr="007A45A8" w:rsidRDefault="004E44C4" w:rsidP="007A45A8">
            <w:pPr>
              <w:autoSpaceDE w:val="0"/>
              <w:autoSpaceDN w:val="0"/>
              <w:adjustRightInd w:val="0"/>
              <w:spacing w:after="120" w:line="276" w:lineRule="auto"/>
              <w:jc w:val="both"/>
            </w:pPr>
            <w:r w:rsidRPr="007A45A8">
              <w:t>Deși, în baza legislației primare au fost elaborate reglementări secundare ce asigură supravegherea sistemului de pensii private și acoperă toate ariile de activitate ale administratorilor de fonduri de pensii private, cadrului primar de reglementare nu i-au mai fost aduse îmbunătățiri substanțiale. Pentru actualizarea acestuia la cerințele actuale referitoare la entitățile care activează în domeniul pensiilor private, pentru siguranța sistemului, s-a impus îmbunătățirea cadrului primar de reglementare.</w:t>
            </w:r>
          </w:p>
          <w:p w:rsidR="00223491" w:rsidRPr="007A45A8" w:rsidRDefault="00223491" w:rsidP="007A45A8">
            <w:pPr>
              <w:autoSpaceDE w:val="0"/>
              <w:autoSpaceDN w:val="0"/>
              <w:adjustRightInd w:val="0"/>
              <w:spacing w:after="120" w:line="276" w:lineRule="auto"/>
              <w:jc w:val="both"/>
              <w:rPr>
                <w:b/>
                <w:lang w:eastAsia="ro-RO"/>
              </w:rPr>
            </w:pPr>
            <w:r w:rsidRPr="007A45A8">
              <w:rPr>
                <w:b/>
                <w:lang w:eastAsia="ro-RO"/>
              </w:rPr>
              <w:t>2.3 Schimbări preconizate</w:t>
            </w:r>
          </w:p>
          <w:p w:rsidR="004E44C4" w:rsidRPr="007A45A8" w:rsidRDefault="004E44C4" w:rsidP="007A45A8">
            <w:pPr>
              <w:pStyle w:val="CaracterCaracterCaracterCharCaracter4"/>
              <w:spacing w:line="276" w:lineRule="auto"/>
              <w:jc w:val="both"/>
              <w:rPr>
                <w:rFonts w:ascii="Times New Roman" w:hAnsi="Times New Roman" w:cs="Times New Roman"/>
                <w:iCs/>
                <w:lang w:val="ro-RO"/>
              </w:rPr>
            </w:pPr>
            <w:r w:rsidRPr="007A45A8">
              <w:rPr>
                <w:rFonts w:ascii="Times New Roman" w:hAnsi="Times New Roman" w:cs="Times New Roman"/>
                <w:iCs/>
                <w:lang w:val="ro-RO"/>
              </w:rPr>
              <w:t>Modificările aduse Legii nr. 411/2004 și Legii nr. 204/2006 cuprind următoarele prevederi:</w:t>
            </w:r>
          </w:p>
          <w:p w:rsidR="004E44C4" w:rsidRPr="007A45A8" w:rsidRDefault="004E44C4" w:rsidP="007A45A8">
            <w:pPr>
              <w:pStyle w:val="CaracterCaracterCaracterCharCaracter4"/>
              <w:spacing w:line="276" w:lineRule="auto"/>
              <w:jc w:val="both"/>
              <w:rPr>
                <w:rFonts w:ascii="Times New Roman" w:eastAsia="Times New Roman" w:hAnsi="Times New Roman" w:cs="Times New Roman"/>
                <w:iCs/>
                <w:lang w:val="ro-RO"/>
              </w:rPr>
            </w:pPr>
            <w:r w:rsidRPr="007A45A8">
              <w:rPr>
                <w:rFonts w:ascii="Times New Roman" w:hAnsi="Times New Roman" w:cs="Times New Roman"/>
                <w:iCs/>
                <w:lang w:val="ro-RO"/>
              </w:rPr>
              <w:t xml:space="preserve">- completarea termenilor existenți în cadrul celor două legi pentru a cuprinde: </w:t>
            </w:r>
            <w:r w:rsidRPr="007A45A8">
              <w:rPr>
                <w:rFonts w:ascii="Times New Roman" w:hAnsi="Times New Roman" w:cs="Times New Roman"/>
                <w:i/>
                <w:lang w:val="ro-RO"/>
              </w:rPr>
              <w:t xml:space="preserve">persoana care deţine o funcţie-cheie, persoana relevantă </w:t>
            </w:r>
            <w:r w:rsidRPr="007A45A8">
              <w:rPr>
                <w:rStyle w:val="l5def1"/>
                <w:rFonts w:ascii="Times New Roman" w:hAnsi="Times New Roman" w:cs="Times New Roman"/>
                <w:i/>
                <w:sz w:val="24"/>
                <w:szCs w:val="24"/>
                <w:lang w:val="ro-RO"/>
              </w:rPr>
              <w:t xml:space="preserve">în raport cu administratorul și </w:t>
            </w:r>
            <w:r w:rsidRPr="007A45A8">
              <w:rPr>
                <w:rFonts w:ascii="Times New Roman" w:eastAsia="Times New Roman" w:hAnsi="Times New Roman" w:cs="Times New Roman"/>
                <w:i/>
                <w:iCs/>
                <w:lang w:val="ro-RO"/>
              </w:rPr>
              <w:t>structura de conducere,</w:t>
            </w:r>
            <w:r w:rsidRPr="007A45A8">
              <w:rPr>
                <w:rFonts w:ascii="Times New Roman" w:eastAsia="Times New Roman" w:hAnsi="Times New Roman" w:cs="Times New Roman"/>
                <w:b/>
                <w:i/>
                <w:iCs/>
                <w:lang w:val="ro-RO"/>
              </w:rPr>
              <w:t xml:space="preserve"> </w:t>
            </w:r>
            <w:r w:rsidRPr="007A45A8">
              <w:rPr>
                <w:rFonts w:ascii="Times New Roman" w:eastAsia="Times New Roman" w:hAnsi="Times New Roman" w:cs="Times New Roman"/>
                <w:iCs/>
                <w:lang w:val="ro-RO"/>
              </w:rPr>
              <w:t>termeni utilizați pe parcursul actelor normative în cauză;</w:t>
            </w:r>
          </w:p>
          <w:p w:rsidR="004E44C4" w:rsidRPr="007A45A8" w:rsidRDefault="004E44C4" w:rsidP="007A45A8">
            <w:pPr>
              <w:pStyle w:val="CaracterCaracterCaracterCharCaracter4"/>
              <w:spacing w:line="276" w:lineRule="auto"/>
              <w:jc w:val="both"/>
              <w:rPr>
                <w:rFonts w:ascii="Times New Roman" w:hAnsi="Times New Roman" w:cs="Times New Roman"/>
                <w:iCs/>
                <w:lang w:val="ro-RO"/>
              </w:rPr>
            </w:pPr>
            <w:r w:rsidRPr="007A45A8">
              <w:rPr>
                <w:rFonts w:ascii="Times New Roman" w:hAnsi="Times New Roman" w:cs="Times New Roman"/>
                <w:iCs/>
                <w:lang w:val="ro-RO"/>
              </w:rPr>
              <w:t>- principii privind regulile de investire și atribuțiile directorilor de investiții din cadrul administratorilor;</w:t>
            </w:r>
          </w:p>
          <w:p w:rsidR="00C1395A" w:rsidRPr="007A45A8" w:rsidRDefault="006E20F2" w:rsidP="007A45A8">
            <w:pPr>
              <w:pStyle w:val="CaracterCaracterCaracterCharCaracter4"/>
              <w:spacing w:line="276" w:lineRule="auto"/>
              <w:jc w:val="both"/>
              <w:rPr>
                <w:rFonts w:ascii="Times New Roman" w:hAnsi="Times New Roman" w:cs="Times New Roman"/>
              </w:rPr>
            </w:pPr>
            <w:r w:rsidRPr="007A45A8">
              <w:rPr>
                <w:rFonts w:ascii="Times New Roman" w:hAnsi="Times New Roman" w:cs="Times New Roman"/>
              </w:rPr>
              <w:t xml:space="preserve">- </w:t>
            </w:r>
            <w:r w:rsidRPr="007A45A8">
              <w:rPr>
                <w:rFonts w:ascii="Times New Roman" w:hAnsi="Times New Roman" w:cs="Times New Roman"/>
                <w:color w:val="000000"/>
              </w:rPr>
              <w:t xml:space="preserve">posibilitatea alocării </w:t>
            </w:r>
            <w:r w:rsidRPr="007A45A8">
              <w:rPr>
                <w:rFonts w:ascii="Times New Roman" w:hAnsi="Times New Roman" w:cs="Times New Roman"/>
                <w:iCs/>
              </w:rPr>
              <w:t>a</w:t>
            </w:r>
            <w:r w:rsidRPr="007A45A8">
              <w:rPr>
                <w:rFonts w:ascii="Times New Roman" w:hAnsi="Times New Roman" w:cs="Times New Roman"/>
              </w:rPr>
              <w:t>ctivelor fondurilor de pensii pilon II</w:t>
            </w:r>
            <w:r w:rsidR="00D05103" w:rsidRPr="007A45A8">
              <w:rPr>
                <w:rFonts w:ascii="Times New Roman" w:hAnsi="Times New Roman" w:cs="Times New Roman"/>
              </w:rPr>
              <w:t xml:space="preserve"> și Pilon III</w:t>
            </w:r>
            <w:r w:rsidRPr="007A45A8">
              <w:rPr>
                <w:rFonts w:ascii="Times New Roman" w:hAnsi="Times New Roman" w:cs="Times New Roman"/>
              </w:rPr>
              <w:t xml:space="preserve"> </w:t>
            </w:r>
            <w:r w:rsidR="009B1676" w:rsidRPr="007A45A8">
              <w:rPr>
                <w:rFonts w:ascii="Times New Roman" w:hAnsi="Times New Roman" w:cs="Times New Roman"/>
              </w:rPr>
              <w:t>î</w:t>
            </w:r>
            <w:r w:rsidRPr="007A45A8">
              <w:rPr>
                <w:rFonts w:ascii="Times New Roman" w:hAnsi="Times New Roman" w:cs="Times New Roman"/>
              </w:rPr>
              <w:t>n investiţii private de capital (</w:t>
            </w:r>
            <w:r w:rsidRPr="007A45A8">
              <w:rPr>
                <w:rFonts w:ascii="Times New Roman" w:hAnsi="Times New Roman" w:cs="Times New Roman"/>
                <w:color w:val="000000"/>
              </w:rPr>
              <w:t>private equity)</w:t>
            </w:r>
            <w:r w:rsidRPr="007A45A8">
              <w:rPr>
                <w:rFonts w:ascii="Times New Roman" w:hAnsi="Times New Roman" w:cs="Times New Roman"/>
              </w:rPr>
              <w:t xml:space="preserve"> sub forma acţiunilor la societăţi din România, din state ale Uniunii Europene sau aparţinând Spaţiului Economic European sau sub forma titlurilor de participare la fondurile de investiţii private de capital din România, din state membre ale Uniunii Europene sau din state aparţinând Spaţiului Economic European, în procent de până la </w:t>
            </w:r>
            <w:r w:rsidRPr="007A45A8">
              <w:rPr>
                <w:rFonts w:ascii="Times New Roman" w:hAnsi="Times New Roman" w:cs="Times New Roman"/>
                <w:bCs/>
              </w:rPr>
              <w:t>1%</w:t>
            </w:r>
            <w:r w:rsidRPr="007A45A8">
              <w:rPr>
                <w:rFonts w:ascii="Times New Roman" w:hAnsi="Times New Roman" w:cs="Times New Roman"/>
              </w:rPr>
              <w:t xml:space="preserve"> din valoarea totală a activelor fondului de pensii; </w:t>
            </w:r>
            <w:r w:rsidRPr="007A45A8">
              <w:rPr>
                <w:rFonts w:ascii="Times New Roman" w:hAnsi="Times New Roman" w:cs="Times New Roman"/>
                <w:bCs/>
              </w:rPr>
              <w:t xml:space="preserve">în situația în care statul român are dețineri sau participații în cadrul acestor entități, administratorul poate investi în aceste instrumente financiare, în procent de până la 3%, precum </w:t>
            </w:r>
            <w:r w:rsidR="009B1676" w:rsidRPr="007A45A8">
              <w:rPr>
                <w:rFonts w:ascii="Times New Roman" w:hAnsi="Times New Roman" w:cs="Times New Roman"/>
                <w:bCs/>
              </w:rPr>
              <w:t>ș</w:t>
            </w:r>
            <w:r w:rsidRPr="007A45A8">
              <w:rPr>
                <w:rFonts w:ascii="Times New Roman" w:hAnsi="Times New Roman" w:cs="Times New Roman"/>
                <w:bCs/>
              </w:rPr>
              <w:t>i dispozi</w:t>
            </w:r>
            <w:r w:rsidR="009B1676" w:rsidRPr="007A45A8">
              <w:rPr>
                <w:rFonts w:ascii="Times New Roman" w:hAnsi="Times New Roman" w:cs="Times New Roman"/>
                <w:bCs/>
              </w:rPr>
              <w:t>ț</w:t>
            </w:r>
            <w:r w:rsidRPr="007A45A8">
              <w:rPr>
                <w:rFonts w:ascii="Times New Roman" w:hAnsi="Times New Roman" w:cs="Times New Roman"/>
                <w:bCs/>
              </w:rPr>
              <w:t xml:space="preserve">ii tranzitorii aplicabile </w:t>
            </w:r>
            <w:r w:rsidRPr="007A45A8">
              <w:rPr>
                <w:rFonts w:ascii="Times New Roman" w:hAnsi="Times New Roman" w:cs="Times New Roman"/>
                <w:color w:val="000000"/>
              </w:rPr>
              <w:t>deținerilor existente în prezent pentru investițiile deja efectuate în aceste instrumente financiare</w:t>
            </w:r>
            <w:r w:rsidR="009B1676" w:rsidRPr="007A45A8">
              <w:rPr>
                <w:rFonts w:ascii="Times New Roman" w:hAnsi="Times New Roman" w:cs="Times New Roman"/>
                <w:color w:val="000000"/>
              </w:rPr>
              <w:t xml:space="preserve"> aflate</w:t>
            </w:r>
            <w:r w:rsidRPr="007A45A8">
              <w:rPr>
                <w:rFonts w:ascii="Times New Roman" w:hAnsi="Times New Roman" w:cs="Times New Roman"/>
                <w:color w:val="000000"/>
              </w:rPr>
              <w:t xml:space="preserve"> </w:t>
            </w:r>
            <w:r w:rsidR="009B1676" w:rsidRPr="007A45A8">
              <w:rPr>
                <w:rFonts w:ascii="Times New Roman" w:hAnsi="Times New Roman" w:cs="Times New Roman"/>
                <w:color w:val="000000"/>
              </w:rPr>
              <w:t>î</w:t>
            </w:r>
            <w:r w:rsidRPr="007A45A8">
              <w:rPr>
                <w:rFonts w:ascii="Times New Roman" w:hAnsi="Times New Roman" w:cs="Times New Roman"/>
                <w:color w:val="000000"/>
              </w:rPr>
              <w:t>n portofoliile fondurilor de pensii private, acestea put</w:t>
            </w:r>
            <w:r w:rsidR="009B1676" w:rsidRPr="007A45A8">
              <w:rPr>
                <w:rFonts w:ascii="Times New Roman" w:hAnsi="Times New Roman" w:cs="Times New Roman"/>
                <w:color w:val="000000"/>
              </w:rPr>
              <w:t>â</w:t>
            </w:r>
            <w:r w:rsidRPr="007A45A8">
              <w:rPr>
                <w:rFonts w:ascii="Times New Roman" w:hAnsi="Times New Roman" w:cs="Times New Roman"/>
                <w:color w:val="000000"/>
              </w:rPr>
              <w:t xml:space="preserve">nd fi  păstrate </w:t>
            </w:r>
            <w:r w:rsidR="009B1676" w:rsidRPr="007A45A8">
              <w:rPr>
                <w:rFonts w:ascii="Times New Roman" w:hAnsi="Times New Roman" w:cs="Times New Roman"/>
              </w:rPr>
              <w:t>pe întreaga perioadă de existență a societăților sau fondurilor de investiții private de capital, administratorii neputând efectua investiţii suplimentare contractelor aflate în derulare decât în condițiile investiționale stabilite prin noua soluție legislativă (Art.I pct.11, art. 25 alin. (1) lit. h</w:t>
            </w:r>
            <w:r w:rsidR="009B1676" w:rsidRPr="007A45A8">
              <w:rPr>
                <w:rFonts w:ascii="Times New Roman" w:hAnsi="Times New Roman" w:cs="Times New Roman"/>
                <w:vertAlign w:val="superscript"/>
              </w:rPr>
              <w:t>3</w:t>
            </w:r>
            <w:r w:rsidR="009B1676" w:rsidRPr="007A45A8">
              <w:rPr>
                <w:rFonts w:ascii="Times New Roman" w:hAnsi="Times New Roman" w:cs="Times New Roman"/>
              </w:rPr>
              <w:t>));</w:t>
            </w:r>
          </w:p>
          <w:p w:rsidR="004E44C4" w:rsidRPr="007A45A8" w:rsidRDefault="004E44C4" w:rsidP="007A45A8">
            <w:pPr>
              <w:pStyle w:val="CaracterCaracterCaracterCharCaracter4"/>
              <w:spacing w:line="276" w:lineRule="auto"/>
              <w:jc w:val="both"/>
              <w:rPr>
                <w:rFonts w:ascii="Times New Roman" w:hAnsi="Times New Roman" w:cs="Times New Roman"/>
                <w:iCs/>
                <w:lang w:val="ro-RO"/>
              </w:rPr>
            </w:pPr>
            <w:r w:rsidRPr="007A45A8">
              <w:rPr>
                <w:rFonts w:ascii="Times New Roman" w:hAnsi="Times New Roman" w:cs="Times New Roman"/>
                <w:iCs/>
                <w:lang w:val="ro-RO"/>
              </w:rPr>
              <w:t>- atribuțiile structurii de management al riscului în cadrul administratorilor;</w:t>
            </w:r>
          </w:p>
          <w:p w:rsidR="004E44C4" w:rsidRPr="007A45A8" w:rsidRDefault="004E44C4" w:rsidP="007A45A8">
            <w:pPr>
              <w:pStyle w:val="CaracterCaracterCaracterCharCaracter4"/>
              <w:spacing w:line="276" w:lineRule="auto"/>
              <w:jc w:val="both"/>
              <w:rPr>
                <w:rFonts w:ascii="Times New Roman" w:hAnsi="Times New Roman" w:cs="Times New Roman"/>
                <w:iCs/>
                <w:lang w:val="ro-RO"/>
              </w:rPr>
            </w:pPr>
            <w:r w:rsidRPr="007A45A8">
              <w:rPr>
                <w:rFonts w:ascii="Times New Roman" w:hAnsi="Times New Roman" w:cs="Times New Roman"/>
                <w:iCs/>
                <w:lang w:val="ro-RO"/>
              </w:rPr>
              <w:t>- principii privind modul de evaluare a activelor fondurilor și responsabilitatea administratorilor;</w:t>
            </w:r>
          </w:p>
          <w:p w:rsidR="004E44C4" w:rsidRPr="007A45A8" w:rsidRDefault="004E44C4" w:rsidP="007A45A8">
            <w:pPr>
              <w:pStyle w:val="CaracterCaracterCaracterCharCaracter4"/>
              <w:spacing w:line="276" w:lineRule="auto"/>
              <w:jc w:val="both"/>
              <w:rPr>
                <w:rStyle w:val="l5def1"/>
                <w:rFonts w:ascii="Times New Roman" w:hAnsi="Times New Roman" w:cs="Times New Roman"/>
                <w:sz w:val="24"/>
                <w:szCs w:val="24"/>
                <w:lang w:val="ro-RO"/>
              </w:rPr>
            </w:pPr>
            <w:r w:rsidRPr="007A45A8">
              <w:rPr>
                <w:rFonts w:ascii="Times New Roman" w:hAnsi="Times New Roman" w:cs="Times New Roman"/>
                <w:iCs/>
                <w:lang w:val="ro-RO"/>
              </w:rPr>
              <w:t xml:space="preserve">- suplimentarea </w:t>
            </w:r>
            <w:r w:rsidRPr="007A45A8">
              <w:rPr>
                <w:rStyle w:val="l5def1"/>
                <w:rFonts w:ascii="Times New Roman" w:hAnsi="Times New Roman" w:cs="Times New Roman"/>
                <w:sz w:val="24"/>
                <w:szCs w:val="24"/>
                <w:lang w:val="ro-RO"/>
              </w:rPr>
              <w:t>activităților privind administrarea unui fond de pensii;</w:t>
            </w:r>
          </w:p>
          <w:p w:rsidR="004E44C4" w:rsidRPr="007A45A8" w:rsidRDefault="004E44C4" w:rsidP="007A45A8">
            <w:pPr>
              <w:pStyle w:val="CaracterCaracterCaracterCharCaracter4"/>
              <w:spacing w:line="276" w:lineRule="auto"/>
              <w:jc w:val="both"/>
              <w:rPr>
                <w:rFonts w:ascii="Times New Roman" w:hAnsi="Times New Roman" w:cs="Times New Roman"/>
              </w:rPr>
            </w:pPr>
            <w:r w:rsidRPr="007A45A8">
              <w:rPr>
                <w:rFonts w:ascii="Times New Roman" w:hAnsi="Times New Roman" w:cs="Times New Roman"/>
                <w:iCs/>
                <w:lang w:val="ro-RO"/>
              </w:rPr>
              <w:t xml:space="preserve">- stabilirea obligației </w:t>
            </w:r>
            <w:r w:rsidRPr="007A45A8">
              <w:rPr>
                <w:rFonts w:ascii="Times New Roman" w:hAnsi="Times New Roman" w:cs="Times New Roman"/>
                <w:iCs/>
                <w:lang w:val="en-US"/>
              </w:rPr>
              <w:t>a</w:t>
            </w:r>
            <w:r w:rsidRPr="007A45A8">
              <w:rPr>
                <w:rFonts w:ascii="Times New Roman" w:hAnsi="Times New Roman" w:cs="Times New Roman"/>
              </w:rPr>
              <w:t>dministratorului de a deține permanent un nivel adecvat de lichiditate, a cărui valoare acoperă activitatea curentă pentru o perioadă de cel puțin 6 luni;</w:t>
            </w:r>
          </w:p>
          <w:p w:rsidR="004E44C4" w:rsidRPr="007A45A8" w:rsidRDefault="004E44C4" w:rsidP="007A45A8">
            <w:pPr>
              <w:spacing w:line="276" w:lineRule="auto"/>
              <w:jc w:val="both"/>
              <w:textAlignment w:val="baseline"/>
            </w:pPr>
            <w:r w:rsidRPr="007A45A8">
              <w:rPr>
                <w:iCs/>
                <w:lang w:val="en-US"/>
              </w:rPr>
              <w:lastRenderedPageBreak/>
              <w:t xml:space="preserve">- </w:t>
            </w:r>
            <w:r w:rsidRPr="007A45A8">
              <w:t xml:space="preserve">obligația de constituire la nivelul entității a unui </w:t>
            </w:r>
            <w:r w:rsidRPr="007A45A8">
              <w:rPr>
                <w:rStyle w:val="normaltextrun"/>
                <w:shd w:val="clear" w:color="auto" w:fill="FFFFFF"/>
              </w:rPr>
              <w:t xml:space="preserve">comitet de investiții </w:t>
            </w:r>
            <w:r w:rsidRPr="007A45A8">
              <w:t xml:space="preserve">format din membrii independenți (care va adopta decizii pentru operațiunile de investire/dezinvestire), precum și </w:t>
            </w:r>
            <w:r w:rsidRPr="007A45A8">
              <w:rPr>
                <w:rStyle w:val="normaltextrun"/>
                <w:shd w:val="clear" w:color="auto" w:fill="FFFFFF"/>
              </w:rPr>
              <w:t>a unui</w:t>
            </w:r>
            <w:r w:rsidRPr="007A45A8">
              <w:t xml:space="preserve"> comitet de remunerare;</w:t>
            </w:r>
          </w:p>
          <w:p w:rsidR="004E44C4" w:rsidRPr="007A45A8" w:rsidRDefault="004E44C4" w:rsidP="007A45A8">
            <w:pPr>
              <w:spacing w:line="276" w:lineRule="auto"/>
              <w:jc w:val="both"/>
            </w:pPr>
            <w:r w:rsidRPr="007A45A8">
              <w:t>- introducerea unor prevederi privind cerințele pentru persoanele cu funcții-cheie și introducerea unor prevederi exprese privind autorizarea acestor persoane;</w:t>
            </w:r>
          </w:p>
          <w:p w:rsidR="004E44C4" w:rsidRPr="007A45A8" w:rsidRDefault="004E44C4" w:rsidP="007A45A8">
            <w:pPr>
              <w:spacing w:line="276" w:lineRule="auto"/>
              <w:jc w:val="both"/>
            </w:pPr>
            <w:r w:rsidRPr="007A45A8">
              <w:t>- stabilirea obligațiilor consiliului de a defini şi supraveghea implementarea mecanismelor de guvernanță care asigură gestionarea eficientă şi prudentă a unei organizații, inclusiv separarea sarcinilor în cadrul organizației şi prevenirea conflictelor de interese, într-un mod care promovează integritatea pieţei;</w:t>
            </w:r>
          </w:p>
          <w:p w:rsidR="004E44C4" w:rsidRPr="007A45A8" w:rsidRDefault="004E44C4" w:rsidP="007A45A8">
            <w:pPr>
              <w:spacing w:line="276" w:lineRule="auto"/>
              <w:jc w:val="both"/>
            </w:pPr>
            <w:r w:rsidRPr="007A45A8">
              <w:t>- segregarea atribuțiilor și responsabilităților diferitelor structuri de conducere, supraveghere și control, după caz, astfel încât să fie evitate eventualele conflicte de interese și să fie acordată autoritatea și independența necesară funcțiilor de control;</w:t>
            </w:r>
          </w:p>
          <w:p w:rsidR="004E44C4" w:rsidRPr="007A45A8" w:rsidRDefault="004E44C4" w:rsidP="007A45A8">
            <w:pPr>
              <w:spacing w:line="276" w:lineRule="auto"/>
              <w:jc w:val="both"/>
            </w:pPr>
            <w:r w:rsidRPr="007A45A8">
              <w:t>- completarea documentației aferente cererii de autorizare de constituire;</w:t>
            </w:r>
          </w:p>
          <w:p w:rsidR="004E44C4" w:rsidRPr="007A45A8" w:rsidRDefault="004E44C4" w:rsidP="007A45A8">
            <w:pPr>
              <w:spacing w:line="276" w:lineRule="auto"/>
              <w:jc w:val="both"/>
            </w:pPr>
            <w:r w:rsidRPr="007A45A8">
              <w:t>- informații privind politicile şi practicile de remunerare;</w:t>
            </w:r>
          </w:p>
          <w:p w:rsidR="004E44C4" w:rsidRPr="007A45A8" w:rsidRDefault="004E44C4" w:rsidP="007A45A8">
            <w:pPr>
              <w:spacing w:line="276" w:lineRule="auto"/>
              <w:jc w:val="both"/>
            </w:pPr>
            <w:r w:rsidRPr="007A45A8">
              <w:t>- stabilirea unui comision unic de administrare, perceput de administrator pentru prestarea activităților principale și a celor secundare/conexe;</w:t>
            </w:r>
          </w:p>
          <w:p w:rsidR="004E44C4" w:rsidRPr="007A45A8" w:rsidRDefault="004E44C4" w:rsidP="007A45A8">
            <w:pPr>
              <w:spacing w:line="276" w:lineRule="auto"/>
              <w:jc w:val="both"/>
            </w:pPr>
            <w:r w:rsidRPr="007A45A8">
              <w:t>- prevederi privind obligația respectării, în orice moment, pe parcursul activității, a condițiilor de autorizare și a celor de funcționare;</w:t>
            </w:r>
          </w:p>
          <w:p w:rsidR="004E44C4" w:rsidRPr="007A45A8" w:rsidRDefault="004E44C4" w:rsidP="007A45A8">
            <w:pPr>
              <w:spacing w:line="276" w:lineRule="auto"/>
              <w:jc w:val="both"/>
            </w:pPr>
            <w:r w:rsidRPr="007A45A8">
              <w:t>- completarea cerințelor de raportare și transparență;</w:t>
            </w:r>
          </w:p>
          <w:p w:rsidR="004E44C4" w:rsidRPr="007A45A8" w:rsidRDefault="004E44C4" w:rsidP="007A45A8">
            <w:pPr>
              <w:spacing w:line="276" w:lineRule="auto"/>
              <w:jc w:val="both"/>
            </w:pPr>
            <w:r w:rsidRPr="007A45A8">
              <w:t xml:space="preserve">- introducerea unor prevederi privind efectuarea verificărilor asupra evidențelor contabile ale administratorului și ale fondurilor de </w:t>
            </w:r>
            <w:r w:rsidR="00E67B1D">
              <w:t xml:space="preserve">pensii </w:t>
            </w:r>
            <w:r w:rsidRPr="007A45A8">
              <w:t>private;</w:t>
            </w:r>
          </w:p>
          <w:p w:rsidR="00605383" w:rsidRPr="007A45A8" w:rsidRDefault="00605383" w:rsidP="007A45A8">
            <w:pPr>
              <w:spacing w:line="276" w:lineRule="auto"/>
              <w:jc w:val="both"/>
            </w:pPr>
            <w:r w:rsidRPr="007A45A8">
              <w:t>- stabilirea dreptului participanților și al beneficiarilor de a cere plata activului personal net sau a pensiei private este imprescriptibil</w:t>
            </w:r>
            <w:r w:rsidR="00E67B1D">
              <w:t>;</w:t>
            </w:r>
          </w:p>
          <w:p w:rsidR="004E44C4" w:rsidRDefault="004E44C4" w:rsidP="007A45A8">
            <w:pPr>
              <w:spacing w:line="276" w:lineRule="auto"/>
              <w:jc w:val="both"/>
            </w:pPr>
            <w:r w:rsidRPr="007A45A8">
              <w:t>- introducerea unor prevederi privind avizarea persoanelor care sunt responsabile pentru activitatea de depozitare a activelor fondurilor de pensii și pentru activitatea agentului de marketing persoană juridică desfășurată în sistemul de pensii private;</w:t>
            </w:r>
          </w:p>
          <w:p w:rsidR="006D726E" w:rsidRPr="00EF048B" w:rsidRDefault="006D726E" w:rsidP="007A45A8">
            <w:pPr>
              <w:spacing w:line="276" w:lineRule="auto"/>
              <w:jc w:val="both"/>
            </w:pPr>
            <w:r w:rsidRPr="00EF048B">
              <w:t>- introducerea posibilității ca, în cazul declanșării procedurii de administrare specială, A.S.F. să poată desemna Fondul de Garantare a Drepturilor din Sistemul Pensii drept administrator special, în condițiile stabilite prin reglementări, pentru asigurarea unui nivel suplimentar de siguranță a sistemului de pensii private în cazul în care niciun alt administrator nu îndeplinește cerințele legale în acest sens;</w:t>
            </w:r>
          </w:p>
          <w:p w:rsidR="00DA05D5" w:rsidRPr="00EF048B" w:rsidRDefault="006D726E" w:rsidP="007A45A8">
            <w:pPr>
              <w:spacing w:line="276" w:lineRule="auto"/>
              <w:jc w:val="both"/>
            </w:pPr>
            <w:r w:rsidRPr="00EF048B">
              <w:t>- abrogarea alin. (5) al articolului 86 din Legea nr. 411/2004</w:t>
            </w:r>
            <w:r w:rsidR="000E49BB" w:rsidRPr="00EF048B">
              <w:t xml:space="preserve"> este justificata de </w:t>
            </w:r>
            <w:r w:rsidR="00DA05D5" w:rsidRPr="00EF048B">
              <w:t xml:space="preserve">corelarea cu prevederile art. 86 modificate prin prezenta </w:t>
            </w:r>
            <w:r w:rsidR="00EF048B" w:rsidRPr="00EF048B">
              <w:t>ordonanță</w:t>
            </w:r>
            <w:r w:rsidR="00DA05D5" w:rsidRPr="00EF048B">
              <w:t xml:space="preserve"> de urgenta.</w:t>
            </w:r>
          </w:p>
          <w:p w:rsidR="004E44C4" w:rsidRPr="007A45A8" w:rsidRDefault="004E44C4" w:rsidP="007A45A8">
            <w:pPr>
              <w:spacing w:line="276" w:lineRule="auto"/>
              <w:jc w:val="both"/>
            </w:pPr>
            <w:r w:rsidRPr="007A45A8">
              <w:t>- completarea și clarificarea regimului sancționatoriu.</w:t>
            </w:r>
          </w:p>
          <w:p w:rsidR="007A45A8" w:rsidRDefault="004E44C4" w:rsidP="007A45A8">
            <w:pPr>
              <w:pStyle w:val="CaracterCaracterCaracterCharCaracter4"/>
              <w:spacing w:line="276" w:lineRule="auto"/>
              <w:jc w:val="both"/>
              <w:rPr>
                <w:rFonts w:ascii="Times New Roman" w:hAnsi="Times New Roman" w:cs="Times New Roman"/>
              </w:rPr>
            </w:pPr>
            <w:r w:rsidRPr="007A45A8">
              <w:rPr>
                <w:rFonts w:ascii="Times New Roman" w:hAnsi="Times New Roman" w:cs="Times New Roman"/>
                <w:iCs/>
                <w:lang w:val="ro-RO"/>
              </w:rPr>
              <w:t xml:space="preserve">Modificările aduse </w:t>
            </w:r>
            <w:r w:rsidRPr="007A45A8">
              <w:rPr>
                <w:rFonts w:ascii="Times New Roman" w:hAnsi="Times New Roman" w:cs="Times New Roman"/>
              </w:rPr>
              <w:t>Legii nr. 187/2011 cuprind prevederi referitoare la mandatul directorului general</w:t>
            </w:r>
            <w:r w:rsidR="00157B49" w:rsidRPr="007A45A8">
              <w:rPr>
                <w:rFonts w:ascii="Times New Roman" w:hAnsi="Times New Roman" w:cs="Times New Roman"/>
              </w:rPr>
              <w:t xml:space="preserve"> în sensul stabilirii ca raporturile dintre FGDSPP și directorul general al acestuia să se desfășoare în baza unui contract de mandat. Modificările urmăresc aplicarea unor principii de guvernanță care să asigure buna funcționare a FGDSPP, precum și asigurarea unui cadru armonizat de reglementare, aplicabil entităților din sistemul de pensii private în sensul aplicării acelorași principii de organizare a structurii de conducere și de evaluare a persoanelor cu funcții de conducere.</w:t>
            </w:r>
          </w:p>
          <w:p w:rsidR="00D91822" w:rsidRPr="00D91822" w:rsidRDefault="00D91822" w:rsidP="007A45A8">
            <w:pPr>
              <w:pStyle w:val="CaracterCaracterCaracterCharCaracter4"/>
              <w:spacing w:line="276" w:lineRule="auto"/>
              <w:jc w:val="both"/>
              <w:rPr>
                <w:rFonts w:ascii="Times New Roman" w:hAnsi="Times New Roman" w:cs="Times New Roman"/>
              </w:rPr>
            </w:pPr>
          </w:p>
          <w:p w:rsidR="00E42101" w:rsidRPr="007A45A8" w:rsidRDefault="00223491" w:rsidP="007A45A8">
            <w:pPr>
              <w:autoSpaceDE w:val="0"/>
              <w:autoSpaceDN w:val="0"/>
              <w:adjustRightInd w:val="0"/>
              <w:spacing w:after="120" w:line="276" w:lineRule="auto"/>
              <w:jc w:val="both"/>
              <w:rPr>
                <w:b/>
                <w:bCs/>
                <w:lang w:eastAsia="en-GB"/>
              </w:rPr>
            </w:pPr>
            <w:r w:rsidRPr="007A45A8">
              <w:rPr>
                <w:b/>
                <w:bCs/>
                <w:lang w:eastAsia="en-GB"/>
              </w:rPr>
              <w:t>2.4 Alte informații</w:t>
            </w:r>
            <w:r w:rsidR="00223CD1" w:rsidRPr="007A45A8">
              <w:rPr>
                <w:b/>
                <w:bCs/>
                <w:lang w:eastAsia="en-GB"/>
              </w:rPr>
              <w:t xml:space="preserve">: </w:t>
            </w:r>
          </w:p>
          <w:p w:rsidR="00223491" w:rsidRPr="007A45A8" w:rsidRDefault="00223CD1" w:rsidP="007A45A8">
            <w:pPr>
              <w:autoSpaceDE w:val="0"/>
              <w:autoSpaceDN w:val="0"/>
              <w:adjustRightInd w:val="0"/>
              <w:spacing w:after="120" w:line="276" w:lineRule="auto"/>
              <w:jc w:val="both"/>
              <w:rPr>
                <w:bCs/>
                <w:lang w:eastAsia="en-GB"/>
              </w:rPr>
            </w:pPr>
            <w:r w:rsidRPr="007A45A8">
              <w:rPr>
                <w:bCs/>
                <w:lang w:eastAsia="en-GB"/>
              </w:rPr>
              <w:t>Nu este cazul</w:t>
            </w:r>
          </w:p>
        </w:tc>
      </w:tr>
    </w:tbl>
    <w:p w:rsidR="00B15401" w:rsidRDefault="00B15401" w:rsidP="007A45A8">
      <w:pPr>
        <w:spacing w:after="120" w:line="276" w:lineRule="auto"/>
        <w:jc w:val="center"/>
        <w:rPr>
          <w:b/>
        </w:rPr>
      </w:pPr>
    </w:p>
    <w:p w:rsidR="006D726E" w:rsidRDefault="006D726E" w:rsidP="007A45A8">
      <w:pPr>
        <w:spacing w:after="120" w:line="276" w:lineRule="auto"/>
        <w:jc w:val="center"/>
        <w:rPr>
          <w:b/>
        </w:rPr>
      </w:pPr>
    </w:p>
    <w:p w:rsidR="006D726E" w:rsidRDefault="006D726E" w:rsidP="007A45A8">
      <w:pPr>
        <w:spacing w:after="120" w:line="276" w:lineRule="auto"/>
        <w:jc w:val="center"/>
        <w:rPr>
          <w:b/>
        </w:rPr>
      </w:pPr>
    </w:p>
    <w:p w:rsidR="00223491" w:rsidRPr="007A45A8" w:rsidRDefault="003864F6" w:rsidP="007A45A8">
      <w:pPr>
        <w:spacing w:line="276" w:lineRule="auto"/>
        <w:jc w:val="center"/>
        <w:rPr>
          <w:b/>
        </w:rPr>
      </w:pPr>
      <w:r w:rsidRPr="007A45A8">
        <w:rPr>
          <w:b/>
        </w:rPr>
        <w:t>Secțiunea</w:t>
      </w:r>
      <w:r w:rsidR="00670C79" w:rsidRPr="007A45A8">
        <w:rPr>
          <w:b/>
        </w:rPr>
        <w:t xml:space="preserve"> a 3-a</w:t>
      </w:r>
    </w:p>
    <w:p w:rsidR="00670C79" w:rsidRPr="007A45A8" w:rsidRDefault="00670C79" w:rsidP="007A45A8">
      <w:pPr>
        <w:spacing w:line="276" w:lineRule="auto"/>
        <w:ind w:firstLine="720"/>
        <w:jc w:val="center"/>
        <w:rPr>
          <w:b/>
        </w:rPr>
      </w:pPr>
      <w:r w:rsidRPr="007A45A8">
        <w:rPr>
          <w:b/>
        </w:rPr>
        <w:t xml:space="preserve">Impactul socioeconomic </w:t>
      </w:r>
      <w:r w:rsidR="0064777F" w:rsidRPr="007A45A8">
        <w:rPr>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4E44C4" w:rsidRPr="007A45A8" w:rsidTr="007C07B3">
        <w:tc>
          <w:tcPr>
            <w:tcW w:w="10533" w:type="dxa"/>
          </w:tcPr>
          <w:p w:rsidR="00F72189" w:rsidRPr="007A45A8" w:rsidRDefault="00F72189" w:rsidP="007A45A8">
            <w:pPr>
              <w:spacing w:after="120" w:line="276" w:lineRule="auto"/>
              <w:jc w:val="both"/>
              <w:rPr>
                <w:b/>
              </w:rPr>
            </w:pPr>
            <w:r w:rsidRPr="007A45A8">
              <w:rPr>
                <w:b/>
              </w:rPr>
              <w:t>3.1 Descrierea generală a beneficiilor și costurilor estimate ca urmare a intrării în vigoare a actului normativ</w:t>
            </w:r>
          </w:p>
          <w:p w:rsidR="00F72189" w:rsidRPr="007A45A8" w:rsidRDefault="00F72189" w:rsidP="007A45A8">
            <w:pPr>
              <w:spacing w:after="120" w:line="276" w:lineRule="auto"/>
              <w:jc w:val="both"/>
              <w:rPr>
                <w:b/>
              </w:rPr>
            </w:pPr>
            <w:r w:rsidRPr="007A45A8">
              <w:rPr>
                <w:b/>
              </w:rPr>
              <w:t>3.2 Impactul social</w:t>
            </w:r>
          </w:p>
          <w:p w:rsidR="004E44C4" w:rsidRPr="007A45A8" w:rsidRDefault="004E44C4" w:rsidP="007A45A8">
            <w:pPr>
              <w:spacing w:after="120" w:line="276" w:lineRule="auto"/>
              <w:jc w:val="both"/>
              <w:rPr>
                <w:bCs/>
                <w:lang w:val="en-US"/>
              </w:rPr>
            </w:pPr>
            <w:r w:rsidRPr="007A45A8">
              <w:rPr>
                <w:rFonts w:eastAsia="Calibri"/>
              </w:rPr>
              <w:t>Proiectul de act normativ nu se referă la acest subiect.</w:t>
            </w:r>
          </w:p>
          <w:p w:rsidR="00F72189" w:rsidRPr="007A45A8" w:rsidRDefault="00F72189" w:rsidP="007A45A8">
            <w:pPr>
              <w:spacing w:after="120" w:line="276" w:lineRule="auto"/>
              <w:jc w:val="both"/>
              <w:rPr>
                <w:b/>
              </w:rPr>
            </w:pPr>
            <w:r w:rsidRPr="007A45A8">
              <w:rPr>
                <w:b/>
              </w:rPr>
              <w:t xml:space="preserve">3.3. Impactul asupra drepturilor și libertăților fundamentale ale omului </w:t>
            </w:r>
          </w:p>
          <w:p w:rsidR="004E44C4" w:rsidRPr="007A45A8" w:rsidRDefault="004E44C4" w:rsidP="007A45A8">
            <w:pPr>
              <w:spacing w:after="120" w:line="276" w:lineRule="auto"/>
              <w:jc w:val="both"/>
              <w:rPr>
                <w:bCs/>
              </w:rPr>
            </w:pPr>
            <w:r w:rsidRPr="007A45A8">
              <w:rPr>
                <w:rFonts w:eastAsia="Calibri"/>
              </w:rPr>
              <w:t>Proiectul de act normativ nu se referă la acest subiect.</w:t>
            </w:r>
          </w:p>
          <w:p w:rsidR="00FB45DC" w:rsidRPr="007A45A8" w:rsidRDefault="00FD3526" w:rsidP="007A45A8">
            <w:pPr>
              <w:spacing w:after="120" w:line="276" w:lineRule="auto"/>
              <w:jc w:val="both"/>
              <w:rPr>
                <w:b/>
              </w:rPr>
            </w:pPr>
            <w:r w:rsidRPr="007A45A8">
              <w:rPr>
                <w:b/>
              </w:rPr>
              <w:t>3.4. Impactul macroeconomic</w:t>
            </w:r>
          </w:p>
          <w:p w:rsidR="004E44C4" w:rsidRPr="007A45A8" w:rsidRDefault="004E44C4" w:rsidP="007A45A8">
            <w:pPr>
              <w:spacing w:after="120" w:line="276" w:lineRule="auto"/>
              <w:jc w:val="both"/>
              <w:rPr>
                <w:b/>
              </w:rPr>
            </w:pPr>
            <w:r w:rsidRPr="007A45A8">
              <w:rPr>
                <w:rFonts w:eastAsia="Calibri"/>
              </w:rPr>
              <w:t>Proiectul de act normativ nu se referă la acest subiect.</w:t>
            </w:r>
          </w:p>
          <w:p w:rsidR="00F72189" w:rsidRPr="007A45A8" w:rsidRDefault="00F72189" w:rsidP="007A45A8">
            <w:pPr>
              <w:spacing w:after="120" w:line="276" w:lineRule="auto"/>
              <w:jc w:val="both"/>
              <w:rPr>
                <w:b/>
              </w:rPr>
            </w:pPr>
            <w:r w:rsidRPr="007A45A8">
              <w:rPr>
                <w:b/>
              </w:rPr>
              <w:t>3.</w:t>
            </w:r>
            <w:r w:rsidR="00FD3526" w:rsidRPr="007A45A8">
              <w:rPr>
                <w:b/>
              </w:rPr>
              <w:t>4</w:t>
            </w:r>
            <w:r w:rsidRPr="007A45A8">
              <w:rPr>
                <w:b/>
              </w:rPr>
              <w:t xml:space="preserve">.1 Impactul asupra </w:t>
            </w:r>
            <w:r w:rsidR="00FD3526" w:rsidRPr="007A45A8">
              <w:rPr>
                <w:b/>
              </w:rPr>
              <w:t xml:space="preserve">economiei și asupra </w:t>
            </w:r>
            <w:r w:rsidRPr="007A45A8">
              <w:rPr>
                <w:b/>
              </w:rPr>
              <w:t>principalilor indicatori macroeconomici</w:t>
            </w:r>
          </w:p>
          <w:p w:rsidR="00156951" w:rsidRPr="007A45A8" w:rsidRDefault="00156951" w:rsidP="007A45A8">
            <w:pPr>
              <w:spacing w:after="120" w:line="276" w:lineRule="auto"/>
              <w:jc w:val="both"/>
            </w:pPr>
            <w:r w:rsidRPr="007A45A8">
              <w:rPr>
                <w:rFonts w:eastAsia="Calibri"/>
              </w:rPr>
              <w:t>Proiectul de act normativ nu se referă la acest subiect.</w:t>
            </w:r>
          </w:p>
          <w:p w:rsidR="00F72189" w:rsidRPr="007A45A8" w:rsidRDefault="00F72189" w:rsidP="007A45A8">
            <w:pPr>
              <w:spacing w:after="120" w:line="276" w:lineRule="auto"/>
              <w:jc w:val="both"/>
              <w:rPr>
                <w:b/>
              </w:rPr>
            </w:pPr>
            <w:r w:rsidRPr="007A45A8">
              <w:rPr>
                <w:b/>
              </w:rPr>
              <w:t>3.</w:t>
            </w:r>
            <w:r w:rsidR="00FD3526" w:rsidRPr="007A45A8">
              <w:rPr>
                <w:b/>
              </w:rPr>
              <w:t>4</w:t>
            </w:r>
            <w:r w:rsidRPr="007A45A8">
              <w:rPr>
                <w:b/>
              </w:rPr>
              <w:t>.2 Impactul asupra mediului concurențial si domeniul</w:t>
            </w:r>
            <w:r w:rsidR="00FB45DC" w:rsidRPr="007A45A8">
              <w:rPr>
                <w:b/>
              </w:rPr>
              <w:t>ui</w:t>
            </w:r>
            <w:r w:rsidRPr="007A45A8">
              <w:rPr>
                <w:b/>
              </w:rPr>
              <w:t xml:space="preserve"> ajutoarelor de stat</w:t>
            </w:r>
          </w:p>
          <w:p w:rsidR="00370427" w:rsidRPr="007A45A8" w:rsidRDefault="00370427" w:rsidP="007A45A8">
            <w:pPr>
              <w:spacing w:after="120" w:line="276" w:lineRule="auto"/>
              <w:jc w:val="both"/>
              <w:rPr>
                <w:b/>
              </w:rPr>
            </w:pPr>
            <w:r w:rsidRPr="007A45A8">
              <w:rPr>
                <w:rFonts w:eastAsia="Calibri"/>
              </w:rPr>
              <w:t>Proiectul de act normativ nu se referă la acest subiect.</w:t>
            </w:r>
          </w:p>
          <w:p w:rsidR="00F72189" w:rsidRPr="007A45A8" w:rsidRDefault="00F72189" w:rsidP="007A45A8">
            <w:pPr>
              <w:spacing w:after="120" w:line="276" w:lineRule="auto"/>
              <w:jc w:val="both"/>
              <w:rPr>
                <w:b/>
              </w:rPr>
            </w:pPr>
            <w:r w:rsidRPr="007A45A8">
              <w:rPr>
                <w:b/>
              </w:rPr>
              <w:t>3.</w:t>
            </w:r>
            <w:r w:rsidR="00FD3526" w:rsidRPr="007A45A8">
              <w:rPr>
                <w:b/>
              </w:rPr>
              <w:t>5</w:t>
            </w:r>
            <w:r w:rsidRPr="007A45A8">
              <w:rPr>
                <w:b/>
              </w:rPr>
              <w:t>. Impactul asupra mediului de afaceri</w:t>
            </w:r>
          </w:p>
          <w:p w:rsidR="00370427" w:rsidRPr="007A45A8" w:rsidRDefault="00370427" w:rsidP="007A45A8">
            <w:pPr>
              <w:spacing w:after="120" w:line="276" w:lineRule="auto"/>
              <w:jc w:val="both"/>
              <w:rPr>
                <w:b/>
              </w:rPr>
            </w:pPr>
            <w:r w:rsidRPr="007A45A8">
              <w:rPr>
                <w:rFonts w:eastAsia="Calibri"/>
              </w:rPr>
              <w:t>Proiectul de act normativ nu se referă la acest subiect.</w:t>
            </w:r>
          </w:p>
          <w:p w:rsidR="00FD3526" w:rsidRPr="007A45A8" w:rsidRDefault="00FD3526" w:rsidP="007A45A8">
            <w:pPr>
              <w:spacing w:after="120" w:line="276" w:lineRule="auto"/>
              <w:jc w:val="both"/>
              <w:rPr>
                <w:b/>
              </w:rPr>
            </w:pPr>
            <w:r w:rsidRPr="007A45A8">
              <w:rPr>
                <w:b/>
              </w:rPr>
              <w:t>3.6 Impactul asupra mediului înconjurător</w:t>
            </w:r>
          </w:p>
          <w:p w:rsidR="00370427" w:rsidRPr="007A45A8" w:rsidRDefault="00370427" w:rsidP="007A45A8">
            <w:pPr>
              <w:spacing w:after="120" w:line="276" w:lineRule="auto"/>
              <w:jc w:val="both"/>
              <w:rPr>
                <w:b/>
              </w:rPr>
            </w:pPr>
            <w:r w:rsidRPr="007A45A8">
              <w:rPr>
                <w:rFonts w:eastAsia="Calibri"/>
              </w:rPr>
              <w:t>Proiectul de act normativ nu se referă la acest subiect.</w:t>
            </w:r>
          </w:p>
          <w:p w:rsidR="00FD3526" w:rsidRPr="007A45A8" w:rsidRDefault="00FD3526" w:rsidP="007A45A8">
            <w:pPr>
              <w:spacing w:after="120" w:line="276" w:lineRule="auto"/>
              <w:jc w:val="both"/>
              <w:rPr>
                <w:b/>
                <w:bCs/>
              </w:rPr>
            </w:pPr>
            <w:r w:rsidRPr="007A45A8">
              <w:rPr>
                <w:b/>
                <w:bCs/>
              </w:rPr>
              <w:t>3.7. Evaluarea costurilor și beneficiilor din perspectiva inovării și digitalizării</w:t>
            </w:r>
          </w:p>
          <w:p w:rsidR="00370427" w:rsidRPr="007A45A8" w:rsidRDefault="00031D8D" w:rsidP="007A45A8">
            <w:pPr>
              <w:spacing w:after="120" w:line="276" w:lineRule="auto"/>
              <w:jc w:val="both"/>
              <w:rPr>
                <w:b/>
              </w:rPr>
            </w:pPr>
            <w:r w:rsidRPr="007A45A8">
              <w:t xml:space="preserve"> </w:t>
            </w:r>
            <w:r w:rsidR="00370427" w:rsidRPr="007A45A8">
              <w:rPr>
                <w:rFonts w:eastAsia="Calibri"/>
              </w:rPr>
              <w:t>Proiectul de act normativ nu se referă la acest subiect.</w:t>
            </w:r>
          </w:p>
          <w:p w:rsidR="00FD3526" w:rsidRPr="007A45A8" w:rsidRDefault="00FD3526" w:rsidP="007A45A8">
            <w:pPr>
              <w:spacing w:after="120" w:line="276" w:lineRule="auto"/>
              <w:jc w:val="both"/>
              <w:rPr>
                <w:b/>
                <w:bCs/>
              </w:rPr>
            </w:pPr>
            <w:r w:rsidRPr="007A45A8">
              <w:rPr>
                <w:b/>
                <w:bCs/>
              </w:rPr>
              <w:t>3.8 Evaluarea costurilor și beneficiilor din perspectiva dezvoltării durabile</w:t>
            </w:r>
          </w:p>
          <w:p w:rsidR="00370427" w:rsidRPr="007A45A8" w:rsidRDefault="00370427" w:rsidP="007A45A8">
            <w:pPr>
              <w:spacing w:after="120" w:line="276" w:lineRule="auto"/>
              <w:jc w:val="both"/>
              <w:rPr>
                <w:b/>
              </w:rPr>
            </w:pPr>
            <w:r w:rsidRPr="007A45A8">
              <w:rPr>
                <w:rFonts w:eastAsia="Calibri"/>
              </w:rPr>
              <w:t>Proiectul de act normativ nu se referă la acest subiect.</w:t>
            </w:r>
          </w:p>
          <w:p w:rsidR="00E42101" w:rsidRPr="007A45A8" w:rsidRDefault="0046279C" w:rsidP="007A45A8">
            <w:pPr>
              <w:spacing w:after="120" w:line="276" w:lineRule="auto"/>
              <w:jc w:val="both"/>
              <w:rPr>
                <w:b/>
                <w:bCs/>
              </w:rPr>
            </w:pPr>
            <w:r w:rsidRPr="007A45A8">
              <w:t xml:space="preserve"> </w:t>
            </w:r>
            <w:r w:rsidR="00FD3526" w:rsidRPr="007A45A8">
              <w:rPr>
                <w:b/>
                <w:bCs/>
              </w:rPr>
              <w:t>3.9. Alte informații</w:t>
            </w:r>
            <w:r w:rsidR="00223CD1" w:rsidRPr="007A45A8">
              <w:rPr>
                <w:b/>
                <w:bCs/>
              </w:rPr>
              <w:t>:</w:t>
            </w:r>
          </w:p>
          <w:p w:rsidR="00370427" w:rsidRPr="007A45A8" w:rsidRDefault="00370427" w:rsidP="007A45A8">
            <w:pPr>
              <w:spacing w:after="120" w:line="276" w:lineRule="auto"/>
              <w:jc w:val="both"/>
              <w:rPr>
                <w:b/>
                <w:bCs/>
              </w:rPr>
            </w:pPr>
            <w:r w:rsidRPr="007A45A8">
              <w:rPr>
                <w:b/>
                <w:bCs/>
              </w:rPr>
              <w:t>Nu este cazul.</w:t>
            </w:r>
          </w:p>
        </w:tc>
      </w:tr>
    </w:tbl>
    <w:p w:rsidR="007A45A8" w:rsidRDefault="007A45A8" w:rsidP="007A45A8">
      <w:pPr>
        <w:spacing w:after="120" w:line="276" w:lineRule="auto"/>
        <w:ind w:firstLine="720"/>
        <w:jc w:val="center"/>
        <w:rPr>
          <w:b/>
        </w:rPr>
      </w:pPr>
    </w:p>
    <w:p w:rsidR="005A13C5" w:rsidRPr="007A45A8" w:rsidRDefault="00670C79" w:rsidP="007A45A8">
      <w:pPr>
        <w:spacing w:line="276" w:lineRule="auto"/>
        <w:ind w:firstLine="720"/>
        <w:jc w:val="center"/>
        <w:rPr>
          <w:b/>
        </w:rPr>
      </w:pPr>
      <w:r w:rsidRPr="007A45A8">
        <w:rPr>
          <w:b/>
        </w:rPr>
        <w:t>Secţiunea a 4-a</w:t>
      </w:r>
    </w:p>
    <w:p w:rsidR="00670C79" w:rsidRDefault="00670C79" w:rsidP="007A45A8">
      <w:pPr>
        <w:spacing w:line="276" w:lineRule="auto"/>
        <w:ind w:firstLine="720"/>
        <w:jc w:val="center"/>
        <w:rPr>
          <w:b/>
        </w:rPr>
      </w:pPr>
      <w:r w:rsidRPr="007A45A8">
        <w:rPr>
          <w:b/>
        </w:rPr>
        <w:t xml:space="preserve">Impactul financiar asupra bugetului </w:t>
      </w:r>
      <w:r w:rsidR="0064777F" w:rsidRPr="007A45A8">
        <w:rPr>
          <w:b/>
        </w:rPr>
        <w:t>general</w:t>
      </w:r>
      <w:r w:rsidRPr="007A45A8">
        <w:rPr>
          <w:b/>
        </w:rPr>
        <w:t xml:space="preserve"> consolidat atât pe termen scurt, pentru</w:t>
      </w:r>
      <w:r w:rsidR="00DB71DB" w:rsidRPr="007A45A8">
        <w:rPr>
          <w:b/>
        </w:rPr>
        <w:t xml:space="preserve"> </w:t>
      </w:r>
      <w:r w:rsidRPr="007A45A8">
        <w:rPr>
          <w:b/>
        </w:rPr>
        <w:t>anul curent, cât şi pe termen lung (pe 5 ani)</w:t>
      </w:r>
      <w:r w:rsidR="003034B1" w:rsidRPr="007A45A8">
        <w:rPr>
          <w:b/>
        </w:rPr>
        <w:t>, inclusiv informații cu privire la cheltuieli și venituri</w:t>
      </w:r>
      <w:r w:rsidR="0064777F" w:rsidRPr="007A45A8">
        <w:rPr>
          <w:b/>
        </w:rPr>
        <w:t xml:space="preserve"> ***)</w:t>
      </w:r>
    </w:p>
    <w:p w:rsidR="00305233" w:rsidRPr="007A45A8" w:rsidRDefault="00305233" w:rsidP="007A45A8">
      <w:pPr>
        <w:spacing w:line="276" w:lineRule="auto"/>
        <w:ind w:firstLine="720"/>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058"/>
        <w:gridCol w:w="1366"/>
        <w:gridCol w:w="1466"/>
        <w:gridCol w:w="1366"/>
        <w:gridCol w:w="1135"/>
        <w:gridCol w:w="1448"/>
      </w:tblGrid>
      <w:tr w:rsidR="004E44C4" w:rsidRPr="007A45A8" w:rsidTr="0037486B">
        <w:tc>
          <w:tcPr>
            <w:tcW w:w="10533" w:type="dxa"/>
            <w:gridSpan w:val="7"/>
          </w:tcPr>
          <w:p w:rsidR="009A76F9" w:rsidRPr="007A45A8" w:rsidRDefault="009A76F9" w:rsidP="007A45A8">
            <w:pPr>
              <w:pStyle w:val="ListParagraph"/>
              <w:numPr>
                <w:ilvl w:val="0"/>
                <w:numId w:val="13"/>
              </w:numPr>
              <w:spacing w:line="276" w:lineRule="auto"/>
              <w:jc w:val="right"/>
              <w:rPr>
                <w:rFonts w:ascii="Times New Roman" w:hAnsi="Times New Roman" w:cs="Times New Roman"/>
              </w:rPr>
            </w:pPr>
            <w:r w:rsidRPr="007A45A8">
              <w:rPr>
                <w:rFonts w:ascii="Times New Roman" w:hAnsi="Times New Roman" w:cs="Times New Roman"/>
              </w:rPr>
              <w:t>În mii lei (RON)</w:t>
            </w:r>
          </w:p>
        </w:tc>
      </w:tr>
      <w:tr w:rsidR="004E44C4" w:rsidRPr="007A45A8" w:rsidTr="005A13C5">
        <w:tc>
          <w:tcPr>
            <w:tcW w:w="2694" w:type="dxa"/>
          </w:tcPr>
          <w:p w:rsidR="00670C79" w:rsidRPr="007A45A8" w:rsidRDefault="00670C79" w:rsidP="007A45A8">
            <w:pPr>
              <w:pStyle w:val="Heading2"/>
              <w:spacing w:line="276" w:lineRule="auto"/>
              <w:rPr>
                <w:sz w:val="24"/>
              </w:rPr>
            </w:pPr>
            <w:r w:rsidRPr="007A45A8">
              <w:rPr>
                <w:sz w:val="24"/>
              </w:rPr>
              <w:lastRenderedPageBreak/>
              <w:t>Indicatori</w:t>
            </w:r>
          </w:p>
        </w:tc>
        <w:tc>
          <w:tcPr>
            <w:tcW w:w="1058" w:type="dxa"/>
          </w:tcPr>
          <w:p w:rsidR="00670C79" w:rsidRPr="007A45A8" w:rsidRDefault="00670C79" w:rsidP="007A45A8">
            <w:pPr>
              <w:spacing w:line="276" w:lineRule="auto"/>
              <w:jc w:val="center"/>
            </w:pPr>
            <w:r w:rsidRPr="007A45A8">
              <w:t>An</w:t>
            </w:r>
            <w:r w:rsidR="009A76F9" w:rsidRPr="007A45A8">
              <w:t>ul</w:t>
            </w:r>
            <w:r w:rsidRPr="007A45A8">
              <w:t xml:space="preserve"> curent</w:t>
            </w:r>
          </w:p>
        </w:tc>
        <w:tc>
          <w:tcPr>
            <w:tcW w:w="5333" w:type="dxa"/>
            <w:gridSpan w:val="4"/>
          </w:tcPr>
          <w:p w:rsidR="00670C79" w:rsidRPr="007A45A8" w:rsidRDefault="00670C79" w:rsidP="007A45A8">
            <w:pPr>
              <w:spacing w:line="276" w:lineRule="auto"/>
              <w:jc w:val="center"/>
            </w:pPr>
            <w:r w:rsidRPr="007A45A8">
              <w:t>Următorii 4 ani</w:t>
            </w:r>
          </w:p>
        </w:tc>
        <w:tc>
          <w:tcPr>
            <w:tcW w:w="1448" w:type="dxa"/>
          </w:tcPr>
          <w:p w:rsidR="00670C79" w:rsidRPr="007A45A8" w:rsidRDefault="00670C79" w:rsidP="007A45A8">
            <w:pPr>
              <w:spacing w:line="276" w:lineRule="auto"/>
              <w:jc w:val="center"/>
            </w:pPr>
            <w:r w:rsidRPr="007A45A8">
              <w:t xml:space="preserve">Media </w:t>
            </w:r>
            <w:r w:rsidR="009A76F9" w:rsidRPr="007A45A8">
              <w:t>pe</w:t>
            </w:r>
            <w:r w:rsidRPr="007A45A8">
              <w:t xml:space="preserve"> 5 ani</w:t>
            </w:r>
          </w:p>
        </w:tc>
      </w:tr>
      <w:tr w:rsidR="004E44C4" w:rsidRPr="007A45A8" w:rsidTr="005A13C5">
        <w:tc>
          <w:tcPr>
            <w:tcW w:w="2694" w:type="dxa"/>
          </w:tcPr>
          <w:p w:rsidR="00670C79" w:rsidRPr="007A45A8" w:rsidRDefault="00670C79" w:rsidP="007A45A8">
            <w:pPr>
              <w:spacing w:line="276" w:lineRule="auto"/>
              <w:jc w:val="center"/>
            </w:pPr>
            <w:r w:rsidRPr="007A45A8">
              <w:t>1</w:t>
            </w:r>
          </w:p>
        </w:tc>
        <w:tc>
          <w:tcPr>
            <w:tcW w:w="1058" w:type="dxa"/>
            <w:vAlign w:val="center"/>
          </w:tcPr>
          <w:p w:rsidR="00670C79" w:rsidRPr="007A45A8" w:rsidRDefault="00670C79" w:rsidP="007A45A8">
            <w:pPr>
              <w:spacing w:line="276" w:lineRule="auto"/>
              <w:jc w:val="center"/>
            </w:pPr>
            <w:r w:rsidRPr="007A45A8">
              <w:t>2</w:t>
            </w:r>
          </w:p>
        </w:tc>
        <w:tc>
          <w:tcPr>
            <w:tcW w:w="1366" w:type="dxa"/>
            <w:vAlign w:val="center"/>
          </w:tcPr>
          <w:p w:rsidR="00670C79" w:rsidRPr="007A45A8" w:rsidRDefault="00670C79" w:rsidP="007A45A8">
            <w:pPr>
              <w:spacing w:line="276" w:lineRule="auto"/>
              <w:jc w:val="center"/>
            </w:pPr>
            <w:r w:rsidRPr="007A45A8">
              <w:t>3</w:t>
            </w:r>
          </w:p>
        </w:tc>
        <w:tc>
          <w:tcPr>
            <w:tcW w:w="1466" w:type="dxa"/>
            <w:vAlign w:val="center"/>
          </w:tcPr>
          <w:p w:rsidR="00670C79" w:rsidRPr="007A45A8" w:rsidRDefault="00670C79" w:rsidP="007A45A8">
            <w:pPr>
              <w:spacing w:line="276" w:lineRule="auto"/>
              <w:jc w:val="center"/>
            </w:pPr>
            <w:r w:rsidRPr="007A45A8">
              <w:t>4</w:t>
            </w:r>
          </w:p>
        </w:tc>
        <w:tc>
          <w:tcPr>
            <w:tcW w:w="1366" w:type="dxa"/>
            <w:vAlign w:val="center"/>
          </w:tcPr>
          <w:p w:rsidR="00670C79" w:rsidRPr="007A45A8" w:rsidRDefault="00670C79" w:rsidP="007A45A8">
            <w:pPr>
              <w:spacing w:line="276" w:lineRule="auto"/>
              <w:jc w:val="center"/>
            </w:pPr>
            <w:r w:rsidRPr="007A45A8">
              <w:t>5</w:t>
            </w:r>
          </w:p>
        </w:tc>
        <w:tc>
          <w:tcPr>
            <w:tcW w:w="1135" w:type="dxa"/>
            <w:vAlign w:val="center"/>
          </w:tcPr>
          <w:p w:rsidR="00670C79" w:rsidRPr="007A45A8" w:rsidRDefault="00670C79" w:rsidP="007A45A8">
            <w:pPr>
              <w:spacing w:line="276" w:lineRule="auto"/>
              <w:jc w:val="center"/>
            </w:pPr>
            <w:r w:rsidRPr="007A45A8">
              <w:t>6</w:t>
            </w:r>
          </w:p>
        </w:tc>
        <w:tc>
          <w:tcPr>
            <w:tcW w:w="1448" w:type="dxa"/>
            <w:vAlign w:val="center"/>
          </w:tcPr>
          <w:p w:rsidR="00670C79" w:rsidRPr="007A45A8" w:rsidRDefault="00670C79" w:rsidP="007A45A8">
            <w:pPr>
              <w:spacing w:line="276" w:lineRule="auto"/>
              <w:jc w:val="center"/>
            </w:pPr>
            <w:r w:rsidRPr="007A45A8">
              <w:t>7</w:t>
            </w:r>
          </w:p>
        </w:tc>
      </w:tr>
      <w:tr w:rsidR="004E44C4" w:rsidRPr="007A45A8" w:rsidTr="005A13C5">
        <w:tc>
          <w:tcPr>
            <w:tcW w:w="2694" w:type="dxa"/>
          </w:tcPr>
          <w:p w:rsidR="0025682E" w:rsidRPr="007A45A8" w:rsidRDefault="00CD28D5" w:rsidP="007A45A8">
            <w:pPr>
              <w:spacing w:line="276" w:lineRule="auto"/>
              <w:jc w:val="both"/>
              <w:rPr>
                <w:b/>
                <w:bCs/>
              </w:rPr>
            </w:pPr>
            <w:r w:rsidRPr="007A45A8">
              <w:rPr>
                <w:b/>
                <w:bCs/>
              </w:rPr>
              <w:t>4.</w:t>
            </w:r>
            <w:r w:rsidR="00670C79" w:rsidRPr="007A45A8">
              <w:rPr>
                <w:b/>
                <w:bCs/>
              </w:rPr>
              <w:t>1.</w:t>
            </w:r>
            <w:r w:rsidRPr="007A45A8">
              <w:rPr>
                <w:b/>
                <w:bCs/>
              </w:rPr>
              <w:t xml:space="preserve"> </w:t>
            </w:r>
            <w:r w:rsidR="00670C79" w:rsidRPr="007A45A8">
              <w:rPr>
                <w:b/>
                <w:bCs/>
              </w:rPr>
              <w:t>Modificări ale veniturilor bugetare, plus/minus, din care:</w:t>
            </w:r>
          </w:p>
        </w:tc>
        <w:tc>
          <w:tcPr>
            <w:tcW w:w="1058" w:type="dxa"/>
          </w:tcPr>
          <w:p w:rsidR="00670C79" w:rsidRPr="007A45A8" w:rsidRDefault="00670C79" w:rsidP="007A45A8">
            <w:pPr>
              <w:pStyle w:val="BodyText2"/>
              <w:spacing w:line="276" w:lineRule="auto"/>
              <w:rPr>
                <w:sz w:val="24"/>
              </w:rPr>
            </w:pPr>
          </w:p>
        </w:tc>
        <w:tc>
          <w:tcPr>
            <w:tcW w:w="1366" w:type="dxa"/>
          </w:tcPr>
          <w:p w:rsidR="00670C79" w:rsidRPr="007A45A8" w:rsidRDefault="00670C79" w:rsidP="007A45A8">
            <w:pPr>
              <w:pStyle w:val="BodyText2"/>
              <w:spacing w:line="276" w:lineRule="auto"/>
              <w:rPr>
                <w:sz w:val="24"/>
              </w:rPr>
            </w:pPr>
          </w:p>
        </w:tc>
        <w:tc>
          <w:tcPr>
            <w:tcW w:w="1466" w:type="dxa"/>
          </w:tcPr>
          <w:p w:rsidR="00670C79" w:rsidRPr="007A45A8" w:rsidRDefault="00670C79" w:rsidP="007A45A8">
            <w:pPr>
              <w:pStyle w:val="BodyText2"/>
              <w:spacing w:line="276" w:lineRule="auto"/>
              <w:rPr>
                <w:sz w:val="24"/>
              </w:rPr>
            </w:pPr>
          </w:p>
        </w:tc>
        <w:tc>
          <w:tcPr>
            <w:tcW w:w="1366" w:type="dxa"/>
          </w:tcPr>
          <w:p w:rsidR="00670C79" w:rsidRPr="007A45A8" w:rsidRDefault="00670C79" w:rsidP="007A45A8">
            <w:pPr>
              <w:pStyle w:val="BodyText2"/>
              <w:spacing w:line="276" w:lineRule="auto"/>
              <w:rPr>
                <w:sz w:val="24"/>
              </w:rPr>
            </w:pPr>
          </w:p>
        </w:tc>
        <w:tc>
          <w:tcPr>
            <w:tcW w:w="1135" w:type="dxa"/>
          </w:tcPr>
          <w:p w:rsidR="00670C79" w:rsidRPr="007A45A8" w:rsidRDefault="00670C79" w:rsidP="007A45A8">
            <w:pPr>
              <w:pStyle w:val="BodyText2"/>
              <w:spacing w:line="276" w:lineRule="auto"/>
              <w:rPr>
                <w:sz w:val="24"/>
              </w:rPr>
            </w:pPr>
          </w:p>
        </w:tc>
        <w:tc>
          <w:tcPr>
            <w:tcW w:w="1448" w:type="dxa"/>
          </w:tcPr>
          <w:p w:rsidR="00670C79" w:rsidRPr="007A45A8" w:rsidRDefault="00670C79" w:rsidP="007A45A8">
            <w:pPr>
              <w:pStyle w:val="BodyText2"/>
              <w:spacing w:line="276" w:lineRule="auto"/>
              <w:rPr>
                <w:sz w:val="24"/>
              </w:rPr>
            </w:pPr>
          </w:p>
        </w:tc>
      </w:tr>
      <w:tr w:rsidR="004E44C4" w:rsidRPr="007A45A8" w:rsidTr="005A13C5">
        <w:tc>
          <w:tcPr>
            <w:tcW w:w="2694" w:type="dxa"/>
          </w:tcPr>
          <w:p w:rsidR="003A367D" w:rsidRPr="007A45A8" w:rsidRDefault="003A367D" w:rsidP="007A45A8">
            <w:pPr>
              <w:spacing w:line="276" w:lineRule="auto"/>
              <w:jc w:val="both"/>
            </w:pPr>
            <w:r w:rsidRPr="007A45A8">
              <w:t>a) bugetul de stat, din acesta:</w:t>
            </w:r>
          </w:p>
          <w:p w:rsidR="003A367D" w:rsidRPr="007A45A8" w:rsidRDefault="00CD28D5" w:rsidP="007A45A8">
            <w:pPr>
              <w:spacing w:line="276" w:lineRule="auto"/>
              <w:jc w:val="both"/>
            </w:pPr>
            <w:r w:rsidRPr="007A45A8">
              <w:t xml:space="preserve">(i) </w:t>
            </w:r>
            <w:r w:rsidR="003A367D" w:rsidRPr="007A45A8">
              <w:t>impozit pe profit</w:t>
            </w:r>
          </w:p>
          <w:p w:rsidR="003A367D" w:rsidRPr="007A45A8" w:rsidRDefault="00CD28D5" w:rsidP="007A45A8">
            <w:pPr>
              <w:spacing w:line="276" w:lineRule="auto"/>
              <w:jc w:val="both"/>
            </w:pPr>
            <w:r w:rsidRPr="007A45A8">
              <w:t xml:space="preserve">(ii) </w:t>
            </w:r>
            <w:r w:rsidR="003A367D" w:rsidRPr="007A45A8">
              <w:t>impozit pe venit</w:t>
            </w:r>
          </w:p>
        </w:tc>
        <w:tc>
          <w:tcPr>
            <w:tcW w:w="1058" w:type="dxa"/>
          </w:tcPr>
          <w:p w:rsidR="003A367D" w:rsidRPr="007A45A8" w:rsidRDefault="003A367D" w:rsidP="007A45A8">
            <w:pPr>
              <w:pStyle w:val="BodyText2"/>
              <w:spacing w:line="276" w:lineRule="auto"/>
              <w:rPr>
                <w:sz w:val="24"/>
              </w:rPr>
            </w:pPr>
          </w:p>
        </w:tc>
        <w:tc>
          <w:tcPr>
            <w:tcW w:w="1366" w:type="dxa"/>
          </w:tcPr>
          <w:p w:rsidR="003A367D" w:rsidRPr="007A45A8" w:rsidRDefault="003A367D" w:rsidP="007A45A8">
            <w:pPr>
              <w:pStyle w:val="BodyText2"/>
              <w:spacing w:line="276" w:lineRule="auto"/>
              <w:rPr>
                <w:sz w:val="24"/>
              </w:rPr>
            </w:pPr>
          </w:p>
        </w:tc>
        <w:tc>
          <w:tcPr>
            <w:tcW w:w="1466" w:type="dxa"/>
          </w:tcPr>
          <w:p w:rsidR="003A367D" w:rsidRPr="007A45A8" w:rsidRDefault="003A367D" w:rsidP="007A45A8">
            <w:pPr>
              <w:pStyle w:val="BodyText2"/>
              <w:spacing w:line="276" w:lineRule="auto"/>
              <w:rPr>
                <w:sz w:val="24"/>
              </w:rPr>
            </w:pPr>
          </w:p>
        </w:tc>
        <w:tc>
          <w:tcPr>
            <w:tcW w:w="1366" w:type="dxa"/>
          </w:tcPr>
          <w:p w:rsidR="003A367D" w:rsidRPr="007A45A8" w:rsidRDefault="003A367D" w:rsidP="007A45A8">
            <w:pPr>
              <w:pStyle w:val="BodyText2"/>
              <w:spacing w:line="276" w:lineRule="auto"/>
              <w:rPr>
                <w:sz w:val="24"/>
              </w:rPr>
            </w:pPr>
          </w:p>
        </w:tc>
        <w:tc>
          <w:tcPr>
            <w:tcW w:w="1135" w:type="dxa"/>
          </w:tcPr>
          <w:p w:rsidR="003A367D" w:rsidRPr="007A45A8" w:rsidRDefault="003A367D" w:rsidP="007A45A8">
            <w:pPr>
              <w:pStyle w:val="BodyText2"/>
              <w:spacing w:line="276" w:lineRule="auto"/>
              <w:rPr>
                <w:sz w:val="24"/>
              </w:rPr>
            </w:pPr>
          </w:p>
        </w:tc>
        <w:tc>
          <w:tcPr>
            <w:tcW w:w="1448" w:type="dxa"/>
          </w:tcPr>
          <w:p w:rsidR="003A367D" w:rsidRPr="007A45A8" w:rsidRDefault="003A367D" w:rsidP="007A45A8">
            <w:pPr>
              <w:pStyle w:val="BodyText2"/>
              <w:spacing w:line="276" w:lineRule="auto"/>
              <w:rPr>
                <w:sz w:val="24"/>
              </w:rPr>
            </w:pPr>
          </w:p>
        </w:tc>
      </w:tr>
      <w:tr w:rsidR="004E44C4" w:rsidRPr="007A45A8" w:rsidTr="005A13C5">
        <w:tc>
          <w:tcPr>
            <w:tcW w:w="2694" w:type="dxa"/>
          </w:tcPr>
          <w:p w:rsidR="003A367D" w:rsidRPr="007A45A8" w:rsidRDefault="003A367D" w:rsidP="007A45A8">
            <w:pPr>
              <w:spacing w:line="276" w:lineRule="auto"/>
              <w:jc w:val="both"/>
            </w:pPr>
            <w:r w:rsidRPr="007A45A8">
              <w:t>b) bugete locale:</w:t>
            </w:r>
          </w:p>
          <w:p w:rsidR="003A367D" w:rsidRPr="007A45A8" w:rsidRDefault="00CD28D5" w:rsidP="007A45A8">
            <w:pPr>
              <w:spacing w:line="276" w:lineRule="auto"/>
              <w:jc w:val="both"/>
            </w:pPr>
            <w:r w:rsidRPr="007A45A8">
              <w:t xml:space="preserve">(i) </w:t>
            </w:r>
            <w:r w:rsidR="003A367D" w:rsidRPr="007A45A8">
              <w:t>impozit pe profit</w:t>
            </w:r>
          </w:p>
        </w:tc>
        <w:tc>
          <w:tcPr>
            <w:tcW w:w="1058" w:type="dxa"/>
          </w:tcPr>
          <w:p w:rsidR="003A367D" w:rsidRPr="007A45A8" w:rsidRDefault="003A367D" w:rsidP="007A45A8">
            <w:pPr>
              <w:pStyle w:val="BodyText2"/>
              <w:spacing w:line="276" w:lineRule="auto"/>
              <w:rPr>
                <w:sz w:val="24"/>
              </w:rPr>
            </w:pPr>
          </w:p>
        </w:tc>
        <w:tc>
          <w:tcPr>
            <w:tcW w:w="1366" w:type="dxa"/>
          </w:tcPr>
          <w:p w:rsidR="003A367D" w:rsidRPr="007A45A8" w:rsidRDefault="003A367D" w:rsidP="007A45A8">
            <w:pPr>
              <w:pStyle w:val="BodyText2"/>
              <w:spacing w:line="276" w:lineRule="auto"/>
              <w:rPr>
                <w:sz w:val="24"/>
              </w:rPr>
            </w:pPr>
          </w:p>
        </w:tc>
        <w:tc>
          <w:tcPr>
            <w:tcW w:w="1466" w:type="dxa"/>
          </w:tcPr>
          <w:p w:rsidR="003A367D" w:rsidRPr="007A45A8" w:rsidRDefault="003A367D" w:rsidP="007A45A8">
            <w:pPr>
              <w:pStyle w:val="BodyText2"/>
              <w:spacing w:line="276" w:lineRule="auto"/>
              <w:rPr>
                <w:sz w:val="24"/>
              </w:rPr>
            </w:pPr>
          </w:p>
        </w:tc>
        <w:tc>
          <w:tcPr>
            <w:tcW w:w="1366" w:type="dxa"/>
          </w:tcPr>
          <w:p w:rsidR="003A367D" w:rsidRPr="007A45A8" w:rsidRDefault="003A367D" w:rsidP="007A45A8">
            <w:pPr>
              <w:pStyle w:val="BodyText2"/>
              <w:spacing w:line="276" w:lineRule="auto"/>
              <w:rPr>
                <w:sz w:val="24"/>
              </w:rPr>
            </w:pPr>
          </w:p>
        </w:tc>
        <w:tc>
          <w:tcPr>
            <w:tcW w:w="1135" w:type="dxa"/>
          </w:tcPr>
          <w:p w:rsidR="003A367D" w:rsidRPr="007A45A8" w:rsidRDefault="003A367D" w:rsidP="007A45A8">
            <w:pPr>
              <w:pStyle w:val="BodyText2"/>
              <w:spacing w:line="276" w:lineRule="auto"/>
              <w:rPr>
                <w:sz w:val="24"/>
              </w:rPr>
            </w:pPr>
          </w:p>
        </w:tc>
        <w:tc>
          <w:tcPr>
            <w:tcW w:w="1448" w:type="dxa"/>
          </w:tcPr>
          <w:p w:rsidR="003A367D" w:rsidRPr="007A45A8" w:rsidRDefault="003A367D" w:rsidP="007A45A8">
            <w:pPr>
              <w:pStyle w:val="BodyText2"/>
              <w:spacing w:line="276" w:lineRule="auto"/>
              <w:rPr>
                <w:sz w:val="24"/>
              </w:rPr>
            </w:pPr>
          </w:p>
        </w:tc>
      </w:tr>
      <w:tr w:rsidR="004E44C4" w:rsidRPr="007A45A8" w:rsidTr="005A13C5">
        <w:tc>
          <w:tcPr>
            <w:tcW w:w="2694" w:type="dxa"/>
          </w:tcPr>
          <w:p w:rsidR="003A367D" w:rsidRPr="007A45A8" w:rsidRDefault="003A367D" w:rsidP="007A45A8">
            <w:pPr>
              <w:spacing w:line="276" w:lineRule="auto"/>
              <w:jc w:val="both"/>
            </w:pPr>
            <w:r w:rsidRPr="007A45A8">
              <w:t>c) bugetul asigurărilor sociale</w:t>
            </w:r>
            <w:r w:rsidR="00CD13F8" w:rsidRPr="007A45A8">
              <w:t xml:space="preserve"> de stat</w:t>
            </w:r>
          </w:p>
          <w:p w:rsidR="003A367D" w:rsidRPr="007A45A8" w:rsidRDefault="00CD28D5" w:rsidP="007A45A8">
            <w:pPr>
              <w:spacing w:line="276" w:lineRule="auto"/>
              <w:jc w:val="both"/>
            </w:pPr>
            <w:r w:rsidRPr="007A45A8">
              <w:t xml:space="preserve">(i) </w:t>
            </w:r>
            <w:r w:rsidR="003A367D" w:rsidRPr="007A45A8">
              <w:t>contribuţii de asigurări</w:t>
            </w:r>
          </w:p>
        </w:tc>
        <w:tc>
          <w:tcPr>
            <w:tcW w:w="1058" w:type="dxa"/>
          </w:tcPr>
          <w:p w:rsidR="003A367D" w:rsidRPr="007A45A8" w:rsidRDefault="003A367D" w:rsidP="007A45A8">
            <w:pPr>
              <w:pStyle w:val="BodyText2"/>
              <w:spacing w:line="276" w:lineRule="auto"/>
              <w:rPr>
                <w:sz w:val="24"/>
              </w:rPr>
            </w:pPr>
          </w:p>
        </w:tc>
        <w:tc>
          <w:tcPr>
            <w:tcW w:w="1366" w:type="dxa"/>
          </w:tcPr>
          <w:p w:rsidR="003A367D" w:rsidRPr="007A45A8" w:rsidRDefault="003A367D" w:rsidP="007A45A8">
            <w:pPr>
              <w:pStyle w:val="BodyText2"/>
              <w:spacing w:line="276" w:lineRule="auto"/>
              <w:rPr>
                <w:sz w:val="24"/>
              </w:rPr>
            </w:pPr>
          </w:p>
        </w:tc>
        <w:tc>
          <w:tcPr>
            <w:tcW w:w="1466" w:type="dxa"/>
          </w:tcPr>
          <w:p w:rsidR="003A367D" w:rsidRPr="007A45A8" w:rsidRDefault="003A367D" w:rsidP="007A45A8">
            <w:pPr>
              <w:pStyle w:val="BodyText2"/>
              <w:spacing w:line="276" w:lineRule="auto"/>
              <w:rPr>
                <w:sz w:val="24"/>
              </w:rPr>
            </w:pPr>
          </w:p>
        </w:tc>
        <w:tc>
          <w:tcPr>
            <w:tcW w:w="1366" w:type="dxa"/>
          </w:tcPr>
          <w:p w:rsidR="003A367D" w:rsidRPr="007A45A8" w:rsidRDefault="003A367D" w:rsidP="007A45A8">
            <w:pPr>
              <w:pStyle w:val="BodyText2"/>
              <w:spacing w:line="276" w:lineRule="auto"/>
              <w:rPr>
                <w:sz w:val="24"/>
              </w:rPr>
            </w:pPr>
          </w:p>
        </w:tc>
        <w:tc>
          <w:tcPr>
            <w:tcW w:w="1135" w:type="dxa"/>
          </w:tcPr>
          <w:p w:rsidR="003A367D" w:rsidRPr="007A45A8" w:rsidRDefault="003A367D" w:rsidP="007A45A8">
            <w:pPr>
              <w:pStyle w:val="BodyText2"/>
              <w:spacing w:line="276" w:lineRule="auto"/>
              <w:rPr>
                <w:sz w:val="24"/>
              </w:rPr>
            </w:pPr>
          </w:p>
        </w:tc>
        <w:tc>
          <w:tcPr>
            <w:tcW w:w="1448" w:type="dxa"/>
          </w:tcPr>
          <w:p w:rsidR="003A367D" w:rsidRPr="007A45A8" w:rsidRDefault="003A367D" w:rsidP="007A45A8">
            <w:pPr>
              <w:pStyle w:val="BodyText2"/>
              <w:spacing w:line="276" w:lineRule="auto"/>
              <w:rPr>
                <w:sz w:val="24"/>
              </w:rPr>
            </w:pPr>
          </w:p>
        </w:tc>
      </w:tr>
      <w:tr w:rsidR="004E44C4" w:rsidRPr="007A45A8" w:rsidTr="005A13C5">
        <w:tc>
          <w:tcPr>
            <w:tcW w:w="2694" w:type="dxa"/>
          </w:tcPr>
          <w:p w:rsidR="003A367D" w:rsidRPr="007A45A8" w:rsidRDefault="003A367D" w:rsidP="007A45A8">
            <w:pPr>
              <w:spacing w:line="276" w:lineRule="auto"/>
              <w:jc w:val="both"/>
            </w:pPr>
            <w:r w:rsidRPr="007A45A8">
              <w:t xml:space="preserve">d) </w:t>
            </w:r>
            <w:r w:rsidR="00A20D72" w:rsidRPr="007A45A8">
              <w:t>alte tipuri de venituri</w:t>
            </w:r>
          </w:p>
          <w:p w:rsidR="00A20D72" w:rsidRPr="007A45A8" w:rsidRDefault="00A20D72" w:rsidP="007A45A8">
            <w:pPr>
              <w:spacing w:line="276" w:lineRule="auto"/>
              <w:jc w:val="both"/>
            </w:pPr>
            <w:r w:rsidRPr="007A45A8">
              <w:t>(</w:t>
            </w:r>
            <w:r w:rsidR="00EF284D" w:rsidRPr="007A45A8">
              <w:t>S</w:t>
            </w:r>
            <w:r w:rsidRPr="007A45A8">
              <w:t>e va menționa natura acestora</w:t>
            </w:r>
            <w:r w:rsidR="00A82648" w:rsidRPr="007A45A8">
              <w:t>.</w:t>
            </w:r>
            <w:r w:rsidRPr="007A45A8">
              <w:t xml:space="preserve">) </w:t>
            </w:r>
          </w:p>
        </w:tc>
        <w:tc>
          <w:tcPr>
            <w:tcW w:w="1058" w:type="dxa"/>
          </w:tcPr>
          <w:p w:rsidR="003A367D" w:rsidRPr="007A45A8" w:rsidRDefault="003A367D" w:rsidP="007A45A8">
            <w:pPr>
              <w:pStyle w:val="BodyText2"/>
              <w:spacing w:line="276" w:lineRule="auto"/>
              <w:rPr>
                <w:sz w:val="24"/>
              </w:rPr>
            </w:pPr>
          </w:p>
        </w:tc>
        <w:tc>
          <w:tcPr>
            <w:tcW w:w="1366" w:type="dxa"/>
          </w:tcPr>
          <w:p w:rsidR="003A367D" w:rsidRPr="007A45A8" w:rsidRDefault="003A367D" w:rsidP="007A45A8">
            <w:pPr>
              <w:pStyle w:val="BodyText2"/>
              <w:spacing w:line="276" w:lineRule="auto"/>
              <w:rPr>
                <w:sz w:val="24"/>
              </w:rPr>
            </w:pPr>
          </w:p>
        </w:tc>
        <w:tc>
          <w:tcPr>
            <w:tcW w:w="1466" w:type="dxa"/>
          </w:tcPr>
          <w:p w:rsidR="003A367D" w:rsidRPr="007A45A8" w:rsidRDefault="003A367D" w:rsidP="007A45A8">
            <w:pPr>
              <w:pStyle w:val="BodyText2"/>
              <w:spacing w:line="276" w:lineRule="auto"/>
              <w:rPr>
                <w:sz w:val="24"/>
              </w:rPr>
            </w:pPr>
          </w:p>
        </w:tc>
        <w:tc>
          <w:tcPr>
            <w:tcW w:w="1366" w:type="dxa"/>
          </w:tcPr>
          <w:p w:rsidR="003A367D" w:rsidRPr="007A45A8" w:rsidRDefault="003A367D" w:rsidP="007A45A8">
            <w:pPr>
              <w:pStyle w:val="BodyText2"/>
              <w:spacing w:line="276" w:lineRule="auto"/>
              <w:rPr>
                <w:sz w:val="24"/>
              </w:rPr>
            </w:pPr>
          </w:p>
        </w:tc>
        <w:tc>
          <w:tcPr>
            <w:tcW w:w="1135" w:type="dxa"/>
          </w:tcPr>
          <w:p w:rsidR="003A367D" w:rsidRPr="007A45A8" w:rsidRDefault="003A367D" w:rsidP="007A45A8">
            <w:pPr>
              <w:pStyle w:val="BodyText2"/>
              <w:spacing w:line="276" w:lineRule="auto"/>
              <w:rPr>
                <w:sz w:val="24"/>
              </w:rPr>
            </w:pPr>
          </w:p>
        </w:tc>
        <w:tc>
          <w:tcPr>
            <w:tcW w:w="1448" w:type="dxa"/>
          </w:tcPr>
          <w:p w:rsidR="003A367D" w:rsidRPr="007A45A8" w:rsidRDefault="003A367D" w:rsidP="007A45A8">
            <w:pPr>
              <w:pStyle w:val="BodyText2"/>
              <w:spacing w:line="276" w:lineRule="auto"/>
              <w:rPr>
                <w:sz w:val="24"/>
              </w:rPr>
            </w:pPr>
          </w:p>
        </w:tc>
      </w:tr>
      <w:tr w:rsidR="004E44C4" w:rsidRPr="007A45A8" w:rsidTr="005A13C5">
        <w:tc>
          <w:tcPr>
            <w:tcW w:w="2694" w:type="dxa"/>
          </w:tcPr>
          <w:p w:rsidR="0025682E" w:rsidRPr="007A45A8" w:rsidRDefault="00CD28D5" w:rsidP="007A45A8">
            <w:pPr>
              <w:spacing w:line="276" w:lineRule="auto"/>
              <w:jc w:val="both"/>
              <w:rPr>
                <w:b/>
                <w:bCs/>
              </w:rPr>
            </w:pPr>
            <w:r w:rsidRPr="007A45A8">
              <w:rPr>
                <w:b/>
                <w:bCs/>
              </w:rPr>
              <w:t>4.</w:t>
            </w:r>
            <w:r w:rsidR="00ED5D29" w:rsidRPr="007A45A8">
              <w:rPr>
                <w:b/>
                <w:bCs/>
              </w:rPr>
              <w:t>2.</w:t>
            </w:r>
            <w:r w:rsidRPr="007A45A8">
              <w:rPr>
                <w:b/>
                <w:bCs/>
              </w:rPr>
              <w:t xml:space="preserve"> </w:t>
            </w:r>
            <w:r w:rsidR="00ED5D29" w:rsidRPr="007A45A8">
              <w:rPr>
                <w:b/>
                <w:bCs/>
              </w:rPr>
              <w:t>Modificări ale cheltuielilor bugetare</w:t>
            </w:r>
            <w:r w:rsidR="00A82648" w:rsidRPr="007A45A8">
              <w:rPr>
                <w:b/>
                <w:bCs/>
              </w:rPr>
              <w:t>, plus/minus,</w:t>
            </w:r>
            <w:r w:rsidR="00ED5D29" w:rsidRPr="007A45A8">
              <w:rPr>
                <w:b/>
                <w:bCs/>
              </w:rPr>
              <w:t xml:space="preserve"> din care:</w:t>
            </w:r>
          </w:p>
        </w:tc>
        <w:tc>
          <w:tcPr>
            <w:tcW w:w="1058" w:type="dxa"/>
          </w:tcPr>
          <w:p w:rsidR="00E62BA0" w:rsidRPr="007A45A8" w:rsidRDefault="00E62BA0" w:rsidP="007A45A8">
            <w:pPr>
              <w:spacing w:line="276" w:lineRule="auto"/>
              <w:jc w:val="center"/>
            </w:pPr>
          </w:p>
        </w:tc>
        <w:tc>
          <w:tcPr>
            <w:tcW w:w="1366" w:type="dxa"/>
          </w:tcPr>
          <w:p w:rsidR="00E62BA0" w:rsidRPr="007A45A8" w:rsidRDefault="00E62BA0" w:rsidP="007A45A8">
            <w:pPr>
              <w:spacing w:line="276" w:lineRule="auto"/>
              <w:jc w:val="center"/>
            </w:pPr>
          </w:p>
        </w:tc>
        <w:tc>
          <w:tcPr>
            <w:tcW w:w="1466" w:type="dxa"/>
          </w:tcPr>
          <w:p w:rsidR="00E62BA0" w:rsidRPr="007A45A8" w:rsidRDefault="00E62BA0" w:rsidP="007A45A8">
            <w:pPr>
              <w:spacing w:line="276" w:lineRule="auto"/>
              <w:jc w:val="center"/>
            </w:pPr>
          </w:p>
        </w:tc>
        <w:tc>
          <w:tcPr>
            <w:tcW w:w="1366" w:type="dxa"/>
          </w:tcPr>
          <w:p w:rsidR="00E62BA0" w:rsidRPr="007A45A8" w:rsidRDefault="00E62BA0" w:rsidP="007A45A8">
            <w:pPr>
              <w:spacing w:line="276" w:lineRule="auto"/>
              <w:jc w:val="center"/>
            </w:pPr>
          </w:p>
        </w:tc>
        <w:tc>
          <w:tcPr>
            <w:tcW w:w="1135" w:type="dxa"/>
          </w:tcPr>
          <w:p w:rsidR="00E62BA0" w:rsidRPr="007A45A8" w:rsidRDefault="00E62BA0" w:rsidP="007A45A8">
            <w:pPr>
              <w:spacing w:line="276" w:lineRule="auto"/>
              <w:jc w:val="center"/>
            </w:pPr>
          </w:p>
        </w:tc>
        <w:tc>
          <w:tcPr>
            <w:tcW w:w="1448" w:type="dxa"/>
          </w:tcPr>
          <w:p w:rsidR="00E62BA0" w:rsidRPr="007A45A8" w:rsidRDefault="00E62BA0" w:rsidP="007A45A8">
            <w:pPr>
              <w:spacing w:line="276" w:lineRule="auto"/>
              <w:jc w:val="center"/>
            </w:pPr>
          </w:p>
        </w:tc>
      </w:tr>
      <w:tr w:rsidR="004E44C4" w:rsidRPr="007A45A8" w:rsidTr="005A13C5">
        <w:tc>
          <w:tcPr>
            <w:tcW w:w="2694" w:type="dxa"/>
          </w:tcPr>
          <w:p w:rsidR="00CD28D5" w:rsidRPr="007A45A8" w:rsidRDefault="00CD28D5" w:rsidP="007A45A8">
            <w:pPr>
              <w:spacing w:line="276" w:lineRule="auto"/>
              <w:jc w:val="both"/>
            </w:pPr>
            <w:r w:rsidRPr="007A45A8">
              <w:t>a) buget de stat, din acesta:</w:t>
            </w:r>
          </w:p>
          <w:p w:rsidR="00CD28D5" w:rsidRPr="007A45A8" w:rsidRDefault="00CD28D5" w:rsidP="007A45A8">
            <w:pPr>
              <w:spacing w:line="276" w:lineRule="auto"/>
              <w:jc w:val="both"/>
            </w:pPr>
            <w:r w:rsidRPr="007A45A8">
              <w:t>(i) cheltuieli de personal</w:t>
            </w:r>
          </w:p>
          <w:p w:rsidR="00CD28D5" w:rsidRPr="007A45A8" w:rsidRDefault="00CD28D5" w:rsidP="007A45A8">
            <w:pPr>
              <w:spacing w:line="276" w:lineRule="auto"/>
              <w:jc w:val="both"/>
            </w:pPr>
            <w:r w:rsidRPr="007A45A8">
              <w:t>(ii) bunuri şi servicii</w:t>
            </w:r>
          </w:p>
        </w:tc>
        <w:tc>
          <w:tcPr>
            <w:tcW w:w="1058" w:type="dxa"/>
          </w:tcPr>
          <w:p w:rsidR="00CD28D5" w:rsidRPr="007A45A8" w:rsidRDefault="00CD28D5" w:rsidP="007A45A8">
            <w:pPr>
              <w:spacing w:line="276" w:lineRule="auto"/>
              <w:jc w:val="center"/>
            </w:pPr>
          </w:p>
        </w:tc>
        <w:tc>
          <w:tcPr>
            <w:tcW w:w="1366" w:type="dxa"/>
          </w:tcPr>
          <w:p w:rsidR="00CD28D5" w:rsidRPr="007A45A8" w:rsidRDefault="00CD28D5" w:rsidP="007A45A8">
            <w:pPr>
              <w:spacing w:line="276" w:lineRule="auto"/>
              <w:jc w:val="center"/>
            </w:pPr>
          </w:p>
        </w:tc>
        <w:tc>
          <w:tcPr>
            <w:tcW w:w="1466" w:type="dxa"/>
          </w:tcPr>
          <w:p w:rsidR="00CD28D5" w:rsidRPr="007A45A8" w:rsidRDefault="00CD28D5" w:rsidP="007A45A8">
            <w:pPr>
              <w:spacing w:line="276" w:lineRule="auto"/>
              <w:jc w:val="center"/>
            </w:pPr>
          </w:p>
        </w:tc>
        <w:tc>
          <w:tcPr>
            <w:tcW w:w="1366" w:type="dxa"/>
          </w:tcPr>
          <w:p w:rsidR="00CD28D5" w:rsidRPr="007A45A8" w:rsidRDefault="00CD28D5" w:rsidP="007A45A8">
            <w:pPr>
              <w:spacing w:line="276" w:lineRule="auto"/>
              <w:jc w:val="center"/>
            </w:pPr>
          </w:p>
        </w:tc>
        <w:tc>
          <w:tcPr>
            <w:tcW w:w="1135" w:type="dxa"/>
          </w:tcPr>
          <w:p w:rsidR="00CD28D5" w:rsidRPr="007A45A8" w:rsidRDefault="00CD28D5" w:rsidP="007A45A8">
            <w:pPr>
              <w:spacing w:line="276" w:lineRule="auto"/>
              <w:jc w:val="center"/>
            </w:pPr>
          </w:p>
        </w:tc>
        <w:tc>
          <w:tcPr>
            <w:tcW w:w="1448" w:type="dxa"/>
          </w:tcPr>
          <w:p w:rsidR="00CD28D5" w:rsidRPr="007A45A8" w:rsidRDefault="00CD28D5" w:rsidP="007A45A8">
            <w:pPr>
              <w:spacing w:line="276" w:lineRule="auto"/>
              <w:jc w:val="center"/>
            </w:pPr>
          </w:p>
        </w:tc>
      </w:tr>
      <w:tr w:rsidR="004E44C4" w:rsidRPr="007A45A8" w:rsidTr="005A13C5">
        <w:tc>
          <w:tcPr>
            <w:tcW w:w="2694" w:type="dxa"/>
          </w:tcPr>
          <w:p w:rsidR="00CD28D5" w:rsidRPr="007A45A8" w:rsidRDefault="00CD28D5" w:rsidP="007A45A8">
            <w:pPr>
              <w:spacing w:line="276" w:lineRule="auto"/>
              <w:jc w:val="both"/>
            </w:pPr>
            <w:r w:rsidRPr="007A45A8">
              <w:t>b)</w:t>
            </w:r>
            <w:r w:rsidR="00CD13F8" w:rsidRPr="007A45A8">
              <w:t xml:space="preserve"> </w:t>
            </w:r>
            <w:r w:rsidRPr="007A45A8">
              <w:t>bugete locale:</w:t>
            </w:r>
          </w:p>
          <w:p w:rsidR="00CD28D5" w:rsidRPr="007A45A8" w:rsidRDefault="00CD28D5" w:rsidP="007A45A8">
            <w:pPr>
              <w:spacing w:line="276" w:lineRule="auto"/>
              <w:jc w:val="both"/>
            </w:pPr>
            <w:r w:rsidRPr="007A45A8">
              <w:t>(i) cheltuieli de personal</w:t>
            </w:r>
          </w:p>
          <w:p w:rsidR="00CD28D5" w:rsidRPr="007A45A8" w:rsidRDefault="00CD28D5" w:rsidP="007A45A8">
            <w:pPr>
              <w:spacing w:line="276" w:lineRule="auto"/>
              <w:jc w:val="both"/>
            </w:pPr>
            <w:r w:rsidRPr="007A45A8">
              <w:t>(ii) bunuri şi servicii</w:t>
            </w:r>
          </w:p>
        </w:tc>
        <w:tc>
          <w:tcPr>
            <w:tcW w:w="1058" w:type="dxa"/>
          </w:tcPr>
          <w:p w:rsidR="00CD28D5" w:rsidRPr="007A45A8" w:rsidRDefault="00CD28D5" w:rsidP="007A45A8">
            <w:pPr>
              <w:spacing w:line="276" w:lineRule="auto"/>
              <w:jc w:val="center"/>
            </w:pPr>
          </w:p>
        </w:tc>
        <w:tc>
          <w:tcPr>
            <w:tcW w:w="1366" w:type="dxa"/>
          </w:tcPr>
          <w:p w:rsidR="00CD28D5" w:rsidRPr="007A45A8" w:rsidRDefault="00CD28D5" w:rsidP="007A45A8">
            <w:pPr>
              <w:spacing w:line="276" w:lineRule="auto"/>
              <w:jc w:val="center"/>
            </w:pPr>
          </w:p>
        </w:tc>
        <w:tc>
          <w:tcPr>
            <w:tcW w:w="1466" w:type="dxa"/>
          </w:tcPr>
          <w:p w:rsidR="00CD28D5" w:rsidRPr="007A45A8" w:rsidRDefault="00CD28D5" w:rsidP="007A45A8">
            <w:pPr>
              <w:spacing w:line="276" w:lineRule="auto"/>
              <w:jc w:val="center"/>
            </w:pPr>
          </w:p>
        </w:tc>
        <w:tc>
          <w:tcPr>
            <w:tcW w:w="1366" w:type="dxa"/>
          </w:tcPr>
          <w:p w:rsidR="00CD28D5" w:rsidRPr="007A45A8" w:rsidRDefault="00CD28D5" w:rsidP="007A45A8">
            <w:pPr>
              <w:spacing w:line="276" w:lineRule="auto"/>
              <w:jc w:val="center"/>
            </w:pPr>
          </w:p>
        </w:tc>
        <w:tc>
          <w:tcPr>
            <w:tcW w:w="1135" w:type="dxa"/>
          </w:tcPr>
          <w:p w:rsidR="00CD28D5" w:rsidRPr="007A45A8" w:rsidRDefault="00CD28D5" w:rsidP="007A45A8">
            <w:pPr>
              <w:spacing w:line="276" w:lineRule="auto"/>
              <w:jc w:val="center"/>
            </w:pPr>
          </w:p>
        </w:tc>
        <w:tc>
          <w:tcPr>
            <w:tcW w:w="1448" w:type="dxa"/>
          </w:tcPr>
          <w:p w:rsidR="00CD28D5" w:rsidRPr="007A45A8" w:rsidRDefault="00CD28D5" w:rsidP="007A45A8">
            <w:pPr>
              <w:spacing w:line="276" w:lineRule="auto"/>
              <w:jc w:val="center"/>
            </w:pPr>
          </w:p>
        </w:tc>
      </w:tr>
      <w:tr w:rsidR="004E44C4" w:rsidRPr="007A45A8" w:rsidTr="005A13C5">
        <w:tc>
          <w:tcPr>
            <w:tcW w:w="2694" w:type="dxa"/>
          </w:tcPr>
          <w:p w:rsidR="00CD13F8" w:rsidRPr="007A45A8" w:rsidRDefault="00CD13F8" w:rsidP="007A45A8">
            <w:pPr>
              <w:spacing w:line="276" w:lineRule="auto"/>
              <w:jc w:val="both"/>
            </w:pPr>
            <w:r w:rsidRPr="007A45A8">
              <w:t>c) bugetul asigurărilor sociale de stat:</w:t>
            </w:r>
          </w:p>
          <w:p w:rsidR="00CD13F8" w:rsidRPr="007A45A8" w:rsidRDefault="00CD13F8" w:rsidP="007A45A8">
            <w:pPr>
              <w:spacing w:line="276" w:lineRule="auto"/>
              <w:jc w:val="both"/>
            </w:pPr>
            <w:r w:rsidRPr="007A45A8">
              <w:t>(i) cheltuieli de personal</w:t>
            </w:r>
          </w:p>
          <w:p w:rsidR="00CD13F8" w:rsidRPr="007A45A8" w:rsidRDefault="00CD13F8" w:rsidP="007A45A8">
            <w:pPr>
              <w:spacing w:line="276" w:lineRule="auto"/>
              <w:jc w:val="both"/>
            </w:pPr>
            <w:r w:rsidRPr="007A45A8">
              <w:t>(ii) bunuri şi servicii</w:t>
            </w:r>
          </w:p>
        </w:tc>
        <w:tc>
          <w:tcPr>
            <w:tcW w:w="1058" w:type="dxa"/>
          </w:tcPr>
          <w:p w:rsidR="00CD13F8" w:rsidRPr="007A45A8" w:rsidRDefault="00CD13F8" w:rsidP="007A45A8">
            <w:pPr>
              <w:spacing w:line="276" w:lineRule="auto"/>
              <w:jc w:val="center"/>
            </w:pPr>
          </w:p>
        </w:tc>
        <w:tc>
          <w:tcPr>
            <w:tcW w:w="1366" w:type="dxa"/>
          </w:tcPr>
          <w:p w:rsidR="00CD13F8" w:rsidRPr="007A45A8" w:rsidRDefault="00CD13F8" w:rsidP="007A45A8">
            <w:pPr>
              <w:spacing w:line="276" w:lineRule="auto"/>
              <w:jc w:val="center"/>
            </w:pPr>
          </w:p>
        </w:tc>
        <w:tc>
          <w:tcPr>
            <w:tcW w:w="1466" w:type="dxa"/>
          </w:tcPr>
          <w:p w:rsidR="00CD13F8" w:rsidRPr="007A45A8" w:rsidRDefault="00CD13F8" w:rsidP="007A45A8">
            <w:pPr>
              <w:spacing w:line="276" w:lineRule="auto"/>
              <w:jc w:val="center"/>
            </w:pPr>
          </w:p>
        </w:tc>
        <w:tc>
          <w:tcPr>
            <w:tcW w:w="1366" w:type="dxa"/>
          </w:tcPr>
          <w:p w:rsidR="00CD13F8" w:rsidRPr="007A45A8" w:rsidRDefault="00CD13F8" w:rsidP="007A45A8">
            <w:pPr>
              <w:spacing w:line="276" w:lineRule="auto"/>
              <w:jc w:val="center"/>
            </w:pPr>
          </w:p>
        </w:tc>
        <w:tc>
          <w:tcPr>
            <w:tcW w:w="1135" w:type="dxa"/>
          </w:tcPr>
          <w:p w:rsidR="00CD13F8" w:rsidRPr="007A45A8" w:rsidRDefault="00CD13F8" w:rsidP="007A45A8">
            <w:pPr>
              <w:spacing w:line="276" w:lineRule="auto"/>
              <w:jc w:val="center"/>
            </w:pPr>
          </w:p>
        </w:tc>
        <w:tc>
          <w:tcPr>
            <w:tcW w:w="1448" w:type="dxa"/>
          </w:tcPr>
          <w:p w:rsidR="00CD13F8" w:rsidRPr="007A45A8" w:rsidRDefault="00CD13F8" w:rsidP="007A45A8">
            <w:pPr>
              <w:spacing w:line="276" w:lineRule="auto"/>
              <w:jc w:val="center"/>
            </w:pPr>
          </w:p>
        </w:tc>
      </w:tr>
      <w:tr w:rsidR="004E44C4" w:rsidRPr="007A45A8" w:rsidTr="005A13C5">
        <w:tc>
          <w:tcPr>
            <w:tcW w:w="2694" w:type="dxa"/>
          </w:tcPr>
          <w:p w:rsidR="00EF284D" w:rsidRPr="007A45A8" w:rsidRDefault="00EF284D" w:rsidP="007A45A8">
            <w:pPr>
              <w:spacing w:line="276" w:lineRule="auto"/>
              <w:jc w:val="both"/>
            </w:pPr>
            <w:r w:rsidRPr="007A45A8">
              <w:t xml:space="preserve">d) alte tipuri de </w:t>
            </w:r>
            <w:r w:rsidR="00A82648" w:rsidRPr="007A45A8">
              <w:t>cheltuieli</w:t>
            </w:r>
          </w:p>
          <w:p w:rsidR="00EF284D" w:rsidRPr="007A45A8" w:rsidRDefault="00EF284D" w:rsidP="007A45A8">
            <w:pPr>
              <w:spacing w:line="276" w:lineRule="auto"/>
              <w:jc w:val="both"/>
            </w:pPr>
            <w:r w:rsidRPr="007A45A8">
              <w:t>(Se va menționa natura acestora</w:t>
            </w:r>
            <w:r w:rsidR="00A82648" w:rsidRPr="007A45A8">
              <w:t>.</w:t>
            </w:r>
            <w:r w:rsidRPr="007A45A8">
              <w:t>)</w:t>
            </w:r>
          </w:p>
        </w:tc>
        <w:tc>
          <w:tcPr>
            <w:tcW w:w="1058" w:type="dxa"/>
          </w:tcPr>
          <w:p w:rsidR="00EF284D" w:rsidRPr="007A45A8" w:rsidRDefault="00EF284D" w:rsidP="007A45A8">
            <w:pPr>
              <w:spacing w:line="276" w:lineRule="auto"/>
              <w:jc w:val="center"/>
            </w:pPr>
          </w:p>
        </w:tc>
        <w:tc>
          <w:tcPr>
            <w:tcW w:w="1366" w:type="dxa"/>
          </w:tcPr>
          <w:p w:rsidR="00EF284D" w:rsidRPr="007A45A8" w:rsidRDefault="00EF284D" w:rsidP="007A45A8">
            <w:pPr>
              <w:spacing w:line="276" w:lineRule="auto"/>
              <w:jc w:val="center"/>
            </w:pPr>
          </w:p>
        </w:tc>
        <w:tc>
          <w:tcPr>
            <w:tcW w:w="1466" w:type="dxa"/>
          </w:tcPr>
          <w:p w:rsidR="00EF284D" w:rsidRPr="007A45A8" w:rsidRDefault="00EF284D" w:rsidP="007A45A8">
            <w:pPr>
              <w:spacing w:line="276" w:lineRule="auto"/>
              <w:jc w:val="center"/>
            </w:pPr>
          </w:p>
        </w:tc>
        <w:tc>
          <w:tcPr>
            <w:tcW w:w="1366" w:type="dxa"/>
          </w:tcPr>
          <w:p w:rsidR="00EF284D" w:rsidRPr="007A45A8" w:rsidRDefault="00EF284D" w:rsidP="007A45A8">
            <w:pPr>
              <w:spacing w:line="276" w:lineRule="auto"/>
              <w:jc w:val="center"/>
            </w:pPr>
          </w:p>
        </w:tc>
        <w:tc>
          <w:tcPr>
            <w:tcW w:w="1135" w:type="dxa"/>
          </w:tcPr>
          <w:p w:rsidR="00EF284D" w:rsidRPr="007A45A8" w:rsidRDefault="00EF284D" w:rsidP="007A45A8">
            <w:pPr>
              <w:spacing w:line="276" w:lineRule="auto"/>
              <w:jc w:val="center"/>
            </w:pPr>
          </w:p>
        </w:tc>
        <w:tc>
          <w:tcPr>
            <w:tcW w:w="1448" w:type="dxa"/>
          </w:tcPr>
          <w:p w:rsidR="00EF284D" w:rsidRPr="007A45A8" w:rsidRDefault="00EF284D" w:rsidP="007A45A8">
            <w:pPr>
              <w:spacing w:line="276" w:lineRule="auto"/>
              <w:jc w:val="center"/>
            </w:pPr>
          </w:p>
        </w:tc>
      </w:tr>
      <w:tr w:rsidR="004E44C4" w:rsidRPr="007A45A8" w:rsidTr="005A13C5">
        <w:tc>
          <w:tcPr>
            <w:tcW w:w="2694" w:type="dxa"/>
          </w:tcPr>
          <w:p w:rsidR="00A75729" w:rsidRPr="007A45A8" w:rsidRDefault="00A75729" w:rsidP="007A45A8">
            <w:pPr>
              <w:spacing w:line="276" w:lineRule="auto"/>
              <w:jc w:val="both"/>
              <w:rPr>
                <w:b/>
                <w:bCs/>
              </w:rPr>
            </w:pPr>
            <w:r w:rsidRPr="007A45A8">
              <w:rPr>
                <w:b/>
                <w:bCs/>
              </w:rPr>
              <w:t>4.3. Impact financiar, plus/minus, din care:</w:t>
            </w:r>
          </w:p>
          <w:p w:rsidR="00A75729" w:rsidRPr="007A45A8" w:rsidRDefault="00A75729" w:rsidP="007A45A8">
            <w:pPr>
              <w:spacing w:line="276" w:lineRule="auto"/>
              <w:jc w:val="both"/>
            </w:pPr>
            <w:r w:rsidRPr="007A45A8">
              <w:t>a) buget de stat</w:t>
            </w:r>
          </w:p>
        </w:tc>
        <w:tc>
          <w:tcPr>
            <w:tcW w:w="1058"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466"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135" w:type="dxa"/>
          </w:tcPr>
          <w:p w:rsidR="00A75729" w:rsidRPr="007A45A8" w:rsidRDefault="00A75729" w:rsidP="007A45A8">
            <w:pPr>
              <w:spacing w:line="276" w:lineRule="auto"/>
              <w:jc w:val="center"/>
            </w:pPr>
          </w:p>
        </w:tc>
        <w:tc>
          <w:tcPr>
            <w:tcW w:w="1448" w:type="dxa"/>
          </w:tcPr>
          <w:p w:rsidR="00A75729" w:rsidRPr="007A45A8" w:rsidRDefault="00A75729" w:rsidP="007A45A8">
            <w:pPr>
              <w:spacing w:line="276" w:lineRule="auto"/>
              <w:jc w:val="center"/>
            </w:pPr>
          </w:p>
        </w:tc>
      </w:tr>
      <w:tr w:rsidR="004E44C4" w:rsidRPr="007A45A8" w:rsidTr="005A13C5">
        <w:tc>
          <w:tcPr>
            <w:tcW w:w="2694" w:type="dxa"/>
          </w:tcPr>
          <w:p w:rsidR="00A75729" w:rsidRPr="007A45A8" w:rsidRDefault="00A75729" w:rsidP="007A45A8">
            <w:pPr>
              <w:spacing w:line="276" w:lineRule="auto"/>
              <w:jc w:val="both"/>
            </w:pPr>
            <w:r w:rsidRPr="007A45A8">
              <w:t>b) bugete locale</w:t>
            </w:r>
          </w:p>
        </w:tc>
        <w:tc>
          <w:tcPr>
            <w:tcW w:w="1058"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466"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135" w:type="dxa"/>
          </w:tcPr>
          <w:p w:rsidR="00A75729" w:rsidRPr="007A45A8" w:rsidRDefault="00A75729" w:rsidP="007A45A8">
            <w:pPr>
              <w:spacing w:line="276" w:lineRule="auto"/>
              <w:jc w:val="center"/>
            </w:pPr>
          </w:p>
        </w:tc>
        <w:tc>
          <w:tcPr>
            <w:tcW w:w="1448" w:type="dxa"/>
          </w:tcPr>
          <w:p w:rsidR="00A75729" w:rsidRPr="007A45A8" w:rsidRDefault="00A75729" w:rsidP="007A45A8">
            <w:pPr>
              <w:spacing w:line="276" w:lineRule="auto"/>
              <w:jc w:val="center"/>
            </w:pPr>
          </w:p>
        </w:tc>
      </w:tr>
      <w:tr w:rsidR="004E44C4" w:rsidRPr="007A45A8" w:rsidTr="005A13C5">
        <w:tc>
          <w:tcPr>
            <w:tcW w:w="2694" w:type="dxa"/>
          </w:tcPr>
          <w:p w:rsidR="00A75729" w:rsidRPr="007A45A8" w:rsidRDefault="00A75729" w:rsidP="007A45A8">
            <w:pPr>
              <w:spacing w:line="276" w:lineRule="auto"/>
              <w:jc w:val="both"/>
              <w:rPr>
                <w:b/>
                <w:bCs/>
              </w:rPr>
            </w:pPr>
            <w:r w:rsidRPr="007A45A8">
              <w:rPr>
                <w:b/>
                <w:bCs/>
              </w:rPr>
              <w:t>4.4. Propuneri pentru acoperirea creşterii cheltuielilor bugetare</w:t>
            </w:r>
          </w:p>
        </w:tc>
        <w:tc>
          <w:tcPr>
            <w:tcW w:w="1058"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466"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135" w:type="dxa"/>
          </w:tcPr>
          <w:p w:rsidR="00A75729" w:rsidRPr="007A45A8" w:rsidRDefault="00A75729" w:rsidP="007A45A8">
            <w:pPr>
              <w:spacing w:line="276" w:lineRule="auto"/>
              <w:jc w:val="center"/>
            </w:pPr>
          </w:p>
        </w:tc>
        <w:tc>
          <w:tcPr>
            <w:tcW w:w="1448" w:type="dxa"/>
          </w:tcPr>
          <w:p w:rsidR="00A75729" w:rsidRPr="007A45A8" w:rsidRDefault="00A75729" w:rsidP="007A45A8">
            <w:pPr>
              <w:spacing w:line="276" w:lineRule="auto"/>
              <w:jc w:val="center"/>
            </w:pPr>
          </w:p>
        </w:tc>
      </w:tr>
      <w:tr w:rsidR="004E44C4" w:rsidRPr="007A45A8" w:rsidTr="005A13C5">
        <w:tc>
          <w:tcPr>
            <w:tcW w:w="2694" w:type="dxa"/>
          </w:tcPr>
          <w:p w:rsidR="00A75729" w:rsidRPr="007A45A8" w:rsidRDefault="00A75729" w:rsidP="007A45A8">
            <w:pPr>
              <w:spacing w:line="276" w:lineRule="auto"/>
              <w:jc w:val="both"/>
              <w:rPr>
                <w:b/>
                <w:bCs/>
              </w:rPr>
            </w:pPr>
            <w:r w:rsidRPr="007A45A8">
              <w:rPr>
                <w:b/>
                <w:bCs/>
              </w:rPr>
              <w:lastRenderedPageBreak/>
              <w:t>4.5. Propuneri pentru a compensa reducerea veniturilor bugetare</w:t>
            </w:r>
          </w:p>
        </w:tc>
        <w:tc>
          <w:tcPr>
            <w:tcW w:w="1058"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466"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135" w:type="dxa"/>
          </w:tcPr>
          <w:p w:rsidR="00A75729" w:rsidRPr="007A45A8" w:rsidRDefault="00A75729" w:rsidP="007A45A8">
            <w:pPr>
              <w:spacing w:line="276" w:lineRule="auto"/>
              <w:jc w:val="center"/>
            </w:pPr>
          </w:p>
        </w:tc>
        <w:tc>
          <w:tcPr>
            <w:tcW w:w="1448" w:type="dxa"/>
          </w:tcPr>
          <w:p w:rsidR="00A75729" w:rsidRPr="007A45A8" w:rsidRDefault="00A75729" w:rsidP="007A45A8">
            <w:pPr>
              <w:spacing w:line="276" w:lineRule="auto"/>
              <w:jc w:val="center"/>
            </w:pPr>
          </w:p>
        </w:tc>
      </w:tr>
      <w:tr w:rsidR="004E44C4" w:rsidRPr="007A45A8" w:rsidTr="005A13C5">
        <w:tc>
          <w:tcPr>
            <w:tcW w:w="2694" w:type="dxa"/>
          </w:tcPr>
          <w:p w:rsidR="00A75729" w:rsidRPr="007A45A8" w:rsidRDefault="00A75729" w:rsidP="007A45A8">
            <w:pPr>
              <w:spacing w:line="276" w:lineRule="auto"/>
              <w:jc w:val="both"/>
              <w:rPr>
                <w:b/>
                <w:bCs/>
              </w:rPr>
            </w:pPr>
            <w:r w:rsidRPr="007A45A8">
              <w:rPr>
                <w:b/>
                <w:bCs/>
              </w:rPr>
              <w:t>4.6. Calcule detaliate privind fundamentarea modificărilor  veniturilor şi/sau cheltuielilor bugetare</w:t>
            </w:r>
          </w:p>
        </w:tc>
        <w:tc>
          <w:tcPr>
            <w:tcW w:w="1058"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466" w:type="dxa"/>
          </w:tcPr>
          <w:p w:rsidR="00A75729" w:rsidRPr="007A45A8" w:rsidRDefault="00A75729" w:rsidP="007A45A8">
            <w:pPr>
              <w:spacing w:line="276" w:lineRule="auto"/>
              <w:jc w:val="center"/>
            </w:pPr>
          </w:p>
        </w:tc>
        <w:tc>
          <w:tcPr>
            <w:tcW w:w="1366" w:type="dxa"/>
          </w:tcPr>
          <w:p w:rsidR="00A75729" w:rsidRPr="007A45A8" w:rsidRDefault="00A75729" w:rsidP="007A45A8">
            <w:pPr>
              <w:spacing w:line="276" w:lineRule="auto"/>
              <w:jc w:val="center"/>
            </w:pPr>
          </w:p>
        </w:tc>
        <w:tc>
          <w:tcPr>
            <w:tcW w:w="1135" w:type="dxa"/>
          </w:tcPr>
          <w:p w:rsidR="00A75729" w:rsidRPr="007A45A8" w:rsidRDefault="00A75729" w:rsidP="007A45A8">
            <w:pPr>
              <w:spacing w:line="276" w:lineRule="auto"/>
              <w:jc w:val="center"/>
            </w:pPr>
          </w:p>
        </w:tc>
        <w:tc>
          <w:tcPr>
            <w:tcW w:w="1448" w:type="dxa"/>
          </w:tcPr>
          <w:p w:rsidR="00A75729" w:rsidRPr="007A45A8" w:rsidRDefault="00A75729" w:rsidP="007A45A8">
            <w:pPr>
              <w:spacing w:line="276" w:lineRule="auto"/>
              <w:jc w:val="center"/>
            </w:pPr>
          </w:p>
        </w:tc>
      </w:tr>
      <w:tr w:rsidR="004E44C4" w:rsidRPr="007A45A8" w:rsidTr="006A42CB">
        <w:tc>
          <w:tcPr>
            <w:tcW w:w="10533" w:type="dxa"/>
            <w:gridSpan w:val="7"/>
          </w:tcPr>
          <w:p w:rsidR="00A75729" w:rsidRPr="007A45A8" w:rsidRDefault="00A75729" w:rsidP="007A45A8">
            <w:pPr>
              <w:spacing w:line="276" w:lineRule="auto"/>
              <w:jc w:val="both"/>
              <w:rPr>
                <w:b/>
                <w:bCs/>
              </w:rPr>
            </w:pPr>
            <w:r w:rsidRPr="007A45A8">
              <w:rPr>
                <w:b/>
                <w:bCs/>
              </w:rPr>
              <w:t>4.7. Prezentarea, în cazul proiectelor de acte normative</w:t>
            </w:r>
            <w:r w:rsidR="00A60FAE" w:rsidRPr="007A45A8">
              <w:rPr>
                <w:b/>
                <w:bCs/>
              </w:rPr>
              <w:t xml:space="preserve"> a căror adaptare atrage majorarea cheltuielilor bugetare, a următoarelor documente:</w:t>
            </w:r>
          </w:p>
          <w:p w:rsidR="00370427" w:rsidRPr="007A45A8" w:rsidRDefault="00370427" w:rsidP="007A45A8">
            <w:pPr>
              <w:spacing w:line="276" w:lineRule="auto"/>
              <w:jc w:val="both"/>
            </w:pPr>
            <w:r w:rsidRPr="007A45A8">
              <w:rPr>
                <w:b/>
                <w:bCs/>
              </w:rPr>
              <w:t>Nu este cazul.</w:t>
            </w:r>
          </w:p>
        </w:tc>
      </w:tr>
      <w:tr w:rsidR="004E44C4" w:rsidRPr="007A45A8" w:rsidTr="00D72556">
        <w:tc>
          <w:tcPr>
            <w:tcW w:w="10533" w:type="dxa"/>
            <w:gridSpan w:val="7"/>
          </w:tcPr>
          <w:p w:rsidR="00370427" w:rsidRPr="007A45A8" w:rsidRDefault="00B4537B" w:rsidP="007A45A8">
            <w:pPr>
              <w:spacing w:line="276" w:lineRule="auto"/>
              <w:rPr>
                <w:b/>
                <w:bCs/>
                <w:noProof/>
              </w:rPr>
            </w:pPr>
            <w:r w:rsidRPr="007A45A8">
              <w:rPr>
                <w:b/>
                <w:bCs/>
                <w:noProof/>
              </w:rPr>
              <w:t>4.8. Alte informații</w:t>
            </w:r>
            <w:r w:rsidR="00223CD1" w:rsidRPr="007A45A8">
              <w:rPr>
                <w:b/>
                <w:bCs/>
                <w:noProof/>
              </w:rPr>
              <w:t xml:space="preserve">: </w:t>
            </w:r>
            <w:r w:rsidR="00370427" w:rsidRPr="007A45A8">
              <w:rPr>
                <w:b/>
                <w:bCs/>
              </w:rPr>
              <w:t>Nu este cazul</w:t>
            </w:r>
          </w:p>
        </w:tc>
      </w:tr>
    </w:tbl>
    <w:p w:rsidR="00305233" w:rsidRDefault="00305233" w:rsidP="007A45A8">
      <w:pPr>
        <w:spacing w:line="276" w:lineRule="auto"/>
        <w:jc w:val="center"/>
        <w:rPr>
          <w:b/>
        </w:rPr>
      </w:pPr>
    </w:p>
    <w:p w:rsidR="00B4537B" w:rsidRPr="007A45A8" w:rsidRDefault="00670C79" w:rsidP="007A45A8">
      <w:pPr>
        <w:spacing w:line="276" w:lineRule="auto"/>
        <w:jc w:val="center"/>
        <w:rPr>
          <w:b/>
        </w:rPr>
      </w:pPr>
      <w:r w:rsidRPr="007A45A8">
        <w:rPr>
          <w:b/>
        </w:rPr>
        <w:t>Secţiunea a 5-a</w:t>
      </w:r>
    </w:p>
    <w:p w:rsidR="00670C79" w:rsidRDefault="00670C79" w:rsidP="007A45A8">
      <w:pPr>
        <w:spacing w:line="276" w:lineRule="auto"/>
        <w:ind w:firstLine="720"/>
        <w:jc w:val="center"/>
        <w:rPr>
          <w:b/>
        </w:rPr>
      </w:pPr>
      <w:r w:rsidRPr="007A45A8">
        <w:rPr>
          <w:b/>
        </w:rPr>
        <w:t>Efectele proiectului de act normativ asupra legislaţiei în vigoare</w:t>
      </w:r>
    </w:p>
    <w:p w:rsidR="00305233" w:rsidRPr="007A45A8" w:rsidRDefault="00305233" w:rsidP="007A45A8">
      <w:pPr>
        <w:spacing w:line="276" w:lineRule="auto"/>
        <w:ind w:firstLine="720"/>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4E44C4" w:rsidRPr="007A45A8" w:rsidTr="00B400EE">
        <w:trPr>
          <w:trHeight w:val="561"/>
        </w:trPr>
        <w:tc>
          <w:tcPr>
            <w:tcW w:w="10533" w:type="dxa"/>
          </w:tcPr>
          <w:p w:rsidR="00973701" w:rsidRPr="007A45A8" w:rsidRDefault="00973701" w:rsidP="007A45A8">
            <w:pPr>
              <w:spacing w:after="120" w:line="276" w:lineRule="auto"/>
              <w:jc w:val="both"/>
              <w:rPr>
                <w:b/>
                <w:bCs/>
              </w:rPr>
            </w:pPr>
            <w:r w:rsidRPr="007A45A8">
              <w:rPr>
                <w:b/>
                <w:bCs/>
              </w:rPr>
              <w:t>5.1. Măsuri normative necesare pentru aplicarea prevederilor proiectului de act normativ</w:t>
            </w:r>
          </w:p>
          <w:p w:rsidR="00884D7B" w:rsidRPr="007A45A8" w:rsidRDefault="00456611" w:rsidP="007A45A8">
            <w:pPr>
              <w:spacing w:after="120" w:line="276" w:lineRule="auto"/>
              <w:jc w:val="both"/>
              <w:rPr>
                <w:rFonts w:eastAsia="Calibri"/>
              </w:rPr>
            </w:pPr>
            <w:r w:rsidRPr="007A45A8">
              <w:t>a) acte normative ce vor fi modificate sau abrogate ca urmare a intrării în vigoare a proiectului de act normativ</w:t>
            </w:r>
            <w:r w:rsidR="00E42101" w:rsidRPr="007A45A8">
              <w:t xml:space="preserve">: </w:t>
            </w:r>
            <w:r w:rsidR="00682E0F" w:rsidRPr="007A45A8">
              <w:rPr>
                <w:bCs/>
              </w:rPr>
              <w:t xml:space="preserve">prevederile Legii nr. 411/2004 privind fondurile de pensii administrate privat, republicată, cu modificările și completările ulterioare (Legea nr. 411/2004), ale Legii nr. 204/2006 privind pensiile facultative, cu modificările și completările ulterioare (Legea nr. 204/2006 ) și ale Legii nr. 187/2011 </w:t>
            </w:r>
            <w:r w:rsidR="00682E0F" w:rsidRPr="007A45A8">
              <w:t xml:space="preserve"> privind înfiinţarea, organizarea şi funcţionarea Fondului de garantare a drepturilor din sistemul de pensii private (Legea nr. 187/2011), </w:t>
            </w:r>
            <w:r w:rsidR="00FF660A" w:rsidRPr="007A45A8">
              <w:rPr>
                <w:rFonts w:eastAsia="Calibri"/>
              </w:rPr>
              <w:t xml:space="preserve">precum </w:t>
            </w:r>
            <w:r w:rsidR="003E4AD3" w:rsidRPr="007A45A8">
              <w:rPr>
                <w:rFonts w:eastAsia="Calibri"/>
              </w:rPr>
              <w:t>ș</w:t>
            </w:r>
            <w:r w:rsidR="00FF660A" w:rsidRPr="007A45A8">
              <w:rPr>
                <w:rFonts w:eastAsia="Calibri"/>
              </w:rPr>
              <w:t xml:space="preserve">i </w:t>
            </w:r>
            <w:r w:rsidR="003E4AD3" w:rsidRPr="007A45A8">
              <w:rPr>
                <w:rFonts w:eastAsia="Calibri"/>
              </w:rPr>
              <w:t>legislația</w:t>
            </w:r>
            <w:r w:rsidR="00FF660A" w:rsidRPr="007A45A8">
              <w:rPr>
                <w:rFonts w:eastAsia="Calibri"/>
              </w:rPr>
              <w:t xml:space="preserve"> secundara emis</w:t>
            </w:r>
            <w:r w:rsidR="00E42101" w:rsidRPr="007A45A8">
              <w:rPr>
                <w:rFonts w:eastAsia="Calibri"/>
              </w:rPr>
              <w:t>ă</w:t>
            </w:r>
            <w:r w:rsidR="00FF660A" w:rsidRPr="007A45A8">
              <w:rPr>
                <w:rFonts w:eastAsia="Calibri"/>
              </w:rPr>
              <w:t xml:space="preserve"> </w:t>
            </w:r>
            <w:r w:rsidR="003E4AD3" w:rsidRPr="007A45A8">
              <w:rPr>
                <w:rFonts w:eastAsia="Calibri"/>
              </w:rPr>
              <w:t>î</w:t>
            </w:r>
            <w:r w:rsidR="00FF660A" w:rsidRPr="007A45A8">
              <w:rPr>
                <w:rFonts w:eastAsia="Calibri"/>
              </w:rPr>
              <w:t>n aplicarea acestora</w:t>
            </w:r>
            <w:r w:rsidR="00884D7B" w:rsidRPr="007A45A8">
              <w:rPr>
                <w:rFonts w:eastAsia="Calibri"/>
              </w:rPr>
              <w:t xml:space="preserve"> pentru corelare cu noile </w:t>
            </w:r>
            <w:r w:rsidR="003E4AD3" w:rsidRPr="007A45A8">
              <w:rPr>
                <w:rFonts w:eastAsia="Calibri"/>
              </w:rPr>
              <w:t>soluții</w:t>
            </w:r>
            <w:r w:rsidR="00884D7B" w:rsidRPr="007A45A8">
              <w:rPr>
                <w:rFonts w:eastAsia="Calibri"/>
              </w:rPr>
              <w:t xml:space="preserve"> legislative</w:t>
            </w:r>
            <w:r w:rsidR="003E4AD3" w:rsidRPr="007A45A8">
              <w:rPr>
                <w:rFonts w:eastAsia="Calibri"/>
              </w:rPr>
              <w:t>.</w:t>
            </w:r>
          </w:p>
          <w:p w:rsidR="00370427" w:rsidRPr="007A45A8" w:rsidRDefault="00370427" w:rsidP="007A45A8">
            <w:pPr>
              <w:spacing w:after="120" w:line="276" w:lineRule="auto"/>
              <w:jc w:val="both"/>
              <w:rPr>
                <w:rFonts w:eastAsia="Calibri"/>
              </w:rPr>
            </w:pPr>
            <w:r w:rsidRPr="007A45A8">
              <w:rPr>
                <w:rFonts w:eastAsia="Calibri"/>
              </w:rPr>
              <w:t>În vederea implementării noilor dispoziții, A.S.F. poate emite legislația secundară care vizează cel puțin următoarele aspecte:</w:t>
            </w:r>
          </w:p>
          <w:p w:rsidR="00370427" w:rsidRPr="007A45A8" w:rsidRDefault="00370427" w:rsidP="007A45A8">
            <w:pPr>
              <w:spacing w:after="120" w:line="276" w:lineRule="auto"/>
              <w:jc w:val="both"/>
              <w:rPr>
                <w:rFonts w:eastAsia="Calibri"/>
              </w:rPr>
            </w:pPr>
            <w:r w:rsidRPr="007A45A8">
              <w:rPr>
                <w:rFonts w:eastAsia="Calibri"/>
              </w:rPr>
              <w:t>- principiile de guvernanță corporativă;</w:t>
            </w:r>
          </w:p>
          <w:p w:rsidR="00370427" w:rsidRPr="007A45A8" w:rsidRDefault="00370427" w:rsidP="007A45A8">
            <w:pPr>
              <w:spacing w:after="120" w:line="276" w:lineRule="auto"/>
              <w:jc w:val="both"/>
              <w:rPr>
                <w:rFonts w:eastAsia="Calibri"/>
              </w:rPr>
            </w:pPr>
            <w:r w:rsidRPr="007A45A8">
              <w:rPr>
                <w:rFonts w:eastAsia="Calibri"/>
              </w:rPr>
              <w:t>- prevederi privind investirea și evaluarea activelor fondurilor de pensii private;</w:t>
            </w:r>
          </w:p>
          <w:p w:rsidR="00370427" w:rsidRPr="007A45A8" w:rsidRDefault="00370427" w:rsidP="007A45A8">
            <w:pPr>
              <w:spacing w:after="120" w:line="276" w:lineRule="auto"/>
              <w:jc w:val="both"/>
              <w:rPr>
                <w:rFonts w:eastAsia="Calibri"/>
              </w:rPr>
            </w:pPr>
            <w:r w:rsidRPr="007A45A8">
              <w:rPr>
                <w:rFonts w:eastAsia="Calibri"/>
              </w:rPr>
              <w:t>- principii privind administrarea riscului;</w:t>
            </w:r>
          </w:p>
          <w:p w:rsidR="00370427" w:rsidRPr="007A45A8" w:rsidRDefault="00370427" w:rsidP="007A45A8">
            <w:pPr>
              <w:spacing w:after="120" w:line="276" w:lineRule="auto"/>
              <w:jc w:val="both"/>
              <w:rPr>
                <w:rFonts w:eastAsia="Calibri"/>
              </w:rPr>
            </w:pPr>
            <w:r w:rsidRPr="007A45A8">
              <w:rPr>
                <w:rFonts w:eastAsia="Calibri"/>
              </w:rPr>
              <w:t>- raportarea către A.S.F.</w:t>
            </w:r>
          </w:p>
          <w:p w:rsidR="00973701" w:rsidRPr="007A45A8" w:rsidRDefault="00973701" w:rsidP="007A45A8">
            <w:pPr>
              <w:tabs>
                <w:tab w:val="left" w:pos="201"/>
              </w:tabs>
              <w:spacing w:line="276" w:lineRule="auto"/>
              <w:jc w:val="both"/>
              <w:rPr>
                <w:b/>
                <w:bCs/>
              </w:rPr>
            </w:pPr>
            <w:r w:rsidRPr="007A45A8">
              <w:rPr>
                <w:b/>
                <w:bCs/>
              </w:rPr>
              <w:t>5.2. Impactul asupra legislației în domeniul achizițiilor publice</w:t>
            </w:r>
          </w:p>
          <w:p w:rsidR="00370427" w:rsidRPr="007A45A8" w:rsidRDefault="00370427" w:rsidP="007A45A8">
            <w:pPr>
              <w:tabs>
                <w:tab w:val="left" w:pos="201"/>
              </w:tabs>
              <w:spacing w:line="276" w:lineRule="auto"/>
              <w:jc w:val="both"/>
            </w:pPr>
            <w:r w:rsidRPr="007A45A8">
              <w:rPr>
                <w:rFonts w:eastAsia="Calibri"/>
              </w:rPr>
              <w:t>Proiectul de act normativ nu se referă la acest subiect.</w:t>
            </w:r>
          </w:p>
          <w:p w:rsidR="00973701" w:rsidRPr="007A45A8" w:rsidRDefault="00973701" w:rsidP="007A45A8">
            <w:pPr>
              <w:tabs>
                <w:tab w:val="left" w:pos="201"/>
              </w:tabs>
              <w:spacing w:line="276" w:lineRule="auto"/>
              <w:jc w:val="both"/>
              <w:rPr>
                <w:b/>
                <w:bCs/>
              </w:rPr>
            </w:pPr>
            <w:r w:rsidRPr="007A45A8">
              <w:rPr>
                <w:b/>
                <w:bCs/>
              </w:rPr>
              <w:t>5.3. Conformitatea  proiectului de act normativ cu legislaţia UE (în cazul proiectelor ce transpun sau asigură aplicarea unor prevederi de drept UE)</w:t>
            </w:r>
          </w:p>
          <w:p w:rsidR="00370427" w:rsidRPr="007A45A8" w:rsidRDefault="00370427" w:rsidP="007A45A8">
            <w:pPr>
              <w:tabs>
                <w:tab w:val="left" w:pos="201"/>
              </w:tabs>
              <w:spacing w:line="276" w:lineRule="auto"/>
              <w:jc w:val="both"/>
              <w:rPr>
                <w:b/>
                <w:bCs/>
              </w:rPr>
            </w:pPr>
            <w:r w:rsidRPr="007A45A8">
              <w:rPr>
                <w:rFonts w:eastAsia="Calibri"/>
              </w:rPr>
              <w:t>Proiectul de act normativ nu se referă la acest subiect.</w:t>
            </w:r>
          </w:p>
          <w:p w:rsidR="00973701" w:rsidRPr="007A45A8" w:rsidRDefault="00973701" w:rsidP="007A45A8">
            <w:pPr>
              <w:tabs>
                <w:tab w:val="left" w:pos="201"/>
              </w:tabs>
              <w:spacing w:line="276" w:lineRule="auto"/>
              <w:jc w:val="both"/>
              <w:rPr>
                <w:b/>
                <w:bCs/>
              </w:rPr>
            </w:pPr>
            <w:r w:rsidRPr="007A45A8">
              <w:rPr>
                <w:b/>
                <w:bCs/>
              </w:rPr>
              <w:t>5.3.1. Măsuri normative necesare transpunerii directivelor UE</w:t>
            </w:r>
          </w:p>
          <w:p w:rsidR="00370427" w:rsidRPr="007A45A8" w:rsidRDefault="00370427" w:rsidP="007A45A8">
            <w:pPr>
              <w:tabs>
                <w:tab w:val="left" w:pos="201"/>
              </w:tabs>
              <w:spacing w:line="276" w:lineRule="auto"/>
              <w:jc w:val="both"/>
              <w:rPr>
                <w:rFonts w:eastAsia="Calibri"/>
              </w:rPr>
            </w:pPr>
            <w:r w:rsidRPr="007A45A8">
              <w:rPr>
                <w:rFonts w:eastAsia="Calibri"/>
              </w:rPr>
              <w:t>Proiectul de act normativ nu se referă la acest subiect.</w:t>
            </w:r>
          </w:p>
          <w:p w:rsidR="00973701" w:rsidRPr="007A45A8" w:rsidRDefault="00674D58" w:rsidP="007A45A8">
            <w:pPr>
              <w:tabs>
                <w:tab w:val="left" w:pos="201"/>
              </w:tabs>
              <w:spacing w:line="276" w:lineRule="auto"/>
              <w:jc w:val="both"/>
              <w:rPr>
                <w:b/>
                <w:bCs/>
              </w:rPr>
            </w:pPr>
            <w:r w:rsidRPr="007A45A8">
              <w:rPr>
                <w:b/>
                <w:bCs/>
              </w:rPr>
              <w:t>5.3.2. Măsuri normative necesare aplicării actelor legislative UE</w:t>
            </w:r>
          </w:p>
          <w:p w:rsidR="00370427" w:rsidRPr="007A45A8" w:rsidRDefault="00370427" w:rsidP="007A45A8">
            <w:pPr>
              <w:tabs>
                <w:tab w:val="left" w:pos="201"/>
              </w:tabs>
              <w:spacing w:line="276" w:lineRule="auto"/>
              <w:jc w:val="both"/>
              <w:rPr>
                <w:rFonts w:eastAsia="Calibri"/>
              </w:rPr>
            </w:pPr>
            <w:r w:rsidRPr="007A45A8">
              <w:rPr>
                <w:rFonts w:eastAsia="Calibri"/>
              </w:rPr>
              <w:t>Proiectul de act normativ nu se referă la acest subiect.</w:t>
            </w:r>
          </w:p>
          <w:p w:rsidR="00370427" w:rsidRPr="007A45A8" w:rsidRDefault="00674D58" w:rsidP="007A45A8">
            <w:pPr>
              <w:tabs>
                <w:tab w:val="left" w:pos="201"/>
              </w:tabs>
              <w:spacing w:line="276" w:lineRule="auto"/>
              <w:jc w:val="both"/>
              <w:rPr>
                <w:b/>
                <w:bCs/>
              </w:rPr>
            </w:pPr>
            <w:r w:rsidRPr="007A45A8">
              <w:rPr>
                <w:b/>
                <w:bCs/>
              </w:rPr>
              <w:t>5.4. Hotărâri ale Curţii de Justiţie a Uniunii Europene</w:t>
            </w:r>
          </w:p>
          <w:p w:rsidR="00370427" w:rsidRPr="007A45A8" w:rsidRDefault="00370427" w:rsidP="007A45A8">
            <w:pPr>
              <w:tabs>
                <w:tab w:val="left" w:pos="201"/>
              </w:tabs>
              <w:spacing w:line="276" w:lineRule="auto"/>
              <w:jc w:val="both"/>
              <w:rPr>
                <w:rFonts w:eastAsia="Calibri"/>
              </w:rPr>
            </w:pPr>
            <w:r w:rsidRPr="007A45A8">
              <w:rPr>
                <w:rFonts w:eastAsia="Calibri"/>
              </w:rPr>
              <w:lastRenderedPageBreak/>
              <w:t>Proiectul de act normativ nu se referă la acest subiect.</w:t>
            </w:r>
          </w:p>
          <w:p w:rsidR="00370427" w:rsidRPr="007A45A8" w:rsidRDefault="00674D58" w:rsidP="007A45A8">
            <w:pPr>
              <w:tabs>
                <w:tab w:val="left" w:pos="201"/>
              </w:tabs>
              <w:spacing w:line="276" w:lineRule="auto"/>
              <w:jc w:val="both"/>
              <w:rPr>
                <w:b/>
                <w:bCs/>
              </w:rPr>
            </w:pPr>
            <w:r w:rsidRPr="007A45A8">
              <w:rPr>
                <w:b/>
                <w:bCs/>
              </w:rPr>
              <w:t>5.5. Alte acte normative şi/sau documente internaţionale din care decurg angajamente asumate</w:t>
            </w:r>
            <w:r w:rsidR="002623AD" w:rsidRPr="007A45A8">
              <w:rPr>
                <w:b/>
                <w:bCs/>
              </w:rPr>
              <w:t xml:space="preserve"> </w:t>
            </w:r>
            <w:r w:rsidR="00370427" w:rsidRPr="007A45A8">
              <w:rPr>
                <w:b/>
                <w:bCs/>
              </w:rPr>
              <w:t>–</w:t>
            </w:r>
            <w:r w:rsidR="002623AD" w:rsidRPr="007A45A8">
              <w:rPr>
                <w:b/>
                <w:bCs/>
              </w:rPr>
              <w:t xml:space="preserve"> </w:t>
            </w:r>
          </w:p>
          <w:p w:rsidR="00370427" w:rsidRPr="007A45A8" w:rsidRDefault="00370427" w:rsidP="007A45A8">
            <w:pPr>
              <w:tabs>
                <w:tab w:val="left" w:pos="201"/>
              </w:tabs>
              <w:spacing w:line="276" w:lineRule="auto"/>
              <w:jc w:val="both"/>
              <w:rPr>
                <w:rFonts w:eastAsia="Calibri"/>
              </w:rPr>
            </w:pPr>
            <w:r w:rsidRPr="007A45A8">
              <w:rPr>
                <w:rFonts w:eastAsia="Calibri"/>
              </w:rPr>
              <w:t>Proiectul de act normativ nu se referă la acest subiect.</w:t>
            </w:r>
          </w:p>
          <w:p w:rsidR="00370427" w:rsidRPr="007A45A8" w:rsidRDefault="00674D58" w:rsidP="007A45A8">
            <w:pPr>
              <w:tabs>
                <w:tab w:val="left" w:pos="201"/>
              </w:tabs>
              <w:spacing w:line="276" w:lineRule="auto"/>
              <w:jc w:val="both"/>
            </w:pPr>
            <w:r w:rsidRPr="007A45A8">
              <w:rPr>
                <w:b/>
                <w:bCs/>
              </w:rPr>
              <w:t>5.6. Alte informații</w:t>
            </w:r>
            <w:r w:rsidR="00223CD1" w:rsidRPr="007A45A8">
              <w:rPr>
                <w:b/>
                <w:bCs/>
              </w:rPr>
              <w:t xml:space="preserve">: </w:t>
            </w:r>
            <w:r w:rsidR="00370427" w:rsidRPr="007A45A8">
              <w:rPr>
                <w:bCs/>
              </w:rPr>
              <w:t>Nu este cazul</w:t>
            </w:r>
          </w:p>
        </w:tc>
      </w:tr>
    </w:tbl>
    <w:p w:rsidR="007A45A8" w:rsidRDefault="007A45A8" w:rsidP="007A45A8">
      <w:pPr>
        <w:spacing w:after="120" w:line="276" w:lineRule="auto"/>
        <w:jc w:val="center"/>
        <w:rPr>
          <w:b/>
        </w:rPr>
      </w:pPr>
    </w:p>
    <w:p w:rsidR="00305233" w:rsidRDefault="00305233" w:rsidP="007A45A8">
      <w:pPr>
        <w:spacing w:line="276" w:lineRule="auto"/>
        <w:jc w:val="center"/>
        <w:rPr>
          <w:b/>
        </w:rPr>
      </w:pPr>
    </w:p>
    <w:p w:rsidR="00305233" w:rsidRDefault="00305233" w:rsidP="007A45A8">
      <w:pPr>
        <w:spacing w:line="276" w:lineRule="auto"/>
        <w:jc w:val="center"/>
        <w:rPr>
          <w:b/>
        </w:rPr>
      </w:pPr>
    </w:p>
    <w:p w:rsidR="00305233" w:rsidRDefault="00305233" w:rsidP="007A45A8">
      <w:pPr>
        <w:spacing w:line="276" w:lineRule="auto"/>
        <w:jc w:val="center"/>
        <w:rPr>
          <w:b/>
        </w:rPr>
      </w:pPr>
    </w:p>
    <w:p w:rsidR="00BB0782" w:rsidRPr="007A45A8" w:rsidRDefault="00BB0782" w:rsidP="007A45A8">
      <w:pPr>
        <w:spacing w:line="276" w:lineRule="auto"/>
        <w:jc w:val="center"/>
        <w:rPr>
          <w:b/>
        </w:rPr>
      </w:pPr>
      <w:r w:rsidRPr="007A45A8">
        <w:rPr>
          <w:b/>
        </w:rPr>
        <w:t>Secțiunea a 6-a</w:t>
      </w:r>
    </w:p>
    <w:p w:rsidR="00670C79" w:rsidRDefault="00670C79" w:rsidP="007A45A8">
      <w:pPr>
        <w:spacing w:line="276" w:lineRule="auto"/>
        <w:ind w:firstLine="720"/>
        <w:jc w:val="center"/>
        <w:rPr>
          <w:b/>
        </w:rPr>
      </w:pPr>
      <w:r w:rsidRPr="007A45A8">
        <w:rPr>
          <w:b/>
        </w:rPr>
        <w:t>Consultările efectuate în vederea elaborării proiectului de act normativ</w:t>
      </w:r>
    </w:p>
    <w:p w:rsidR="00305233" w:rsidRDefault="00305233" w:rsidP="007A45A8">
      <w:pPr>
        <w:spacing w:line="276" w:lineRule="auto"/>
        <w:ind w:firstLine="720"/>
        <w:jc w:val="center"/>
        <w:rPr>
          <w:b/>
        </w:rPr>
      </w:pPr>
    </w:p>
    <w:p w:rsidR="00305233" w:rsidRPr="007A45A8" w:rsidRDefault="00305233" w:rsidP="007A45A8">
      <w:pPr>
        <w:spacing w:line="276" w:lineRule="auto"/>
        <w:ind w:firstLine="720"/>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4E44C4" w:rsidRPr="007A45A8" w:rsidTr="00096014">
        <w:tc>
          <w:tcPr>
            <w:tcW w:w="10533" w:type="dxa"/>
          </w:tcPr>
          <w:p w:rsidR="00770E01" w:rsidRPr="007A45A8" w:rsidRDefault="00770E01" w:rsidP="007A45A8">
            <w:pPr>
              <w:spacing w:after="120" w:line="276" w:lineRule="auto"/>
              <w:jc w:val="both"/>
              <w:rPr>
                <w:b/>
                <w:bCs/>
              </w:rPr>
            </w:pPr>
            <w:r w:rsidRPr="007A45A8">
              <w:rPr>
                <w:b/>
                <w:bCs/>
              </w:rPr>
              <w:t>6.1. Informații privind neaplicarea procedurii de participare la elaborarea actelor normative</w:t>
            </w:r>
          </w:p>
          <w:p w:rsidR="00B52C73" w:rsidRPr="007A45A8" w:rsidRDefault="002623AD" w:rsidP="007A45A8">
            <w:pPr>
              <w:spacing w:after="120" w:line="276" w:lineRule="auto"/>
              <w:jc w:val="both"/>
              <w:rPr>
                <w:b/>
                <w:bCs/>
              </w:rPr>
            </w:pPr>
            <w:r w:rsidRPr="007A45A8">
              <w:rPr>
                <w:b/>
                <w:bCs/>
              </w:rPr>
              <w:t xml:space="preserve"> </w:t>
            </w:r>
            <w:r w:rsidR="00E6658F" w:rsidRPr="007A45A8">
              <w:rPr>
                <w:b/>
                <w:bCs/>
              </w:rPr>
              <w:t xml:space="preserve">Prezentul proiect de act normativ se încadrează în prevederile art. 7 alin. (13) din Legea nr. 52/2003 privind </w:t>
            </w:r>
            <w:r w:rsidR="00135F81" w:rsidRPr="007A45A8">
              <w:rPr>
                <w:b/>
                <w:bCs/>
              </w:rPr>
              <w:t>transparența</w:t>
            </w:r>
            <w:r w:rsidR="00E6658F" w:rsidRPr="007A45A8">
              <w:rPr>
                <w:b/>
                <w:bCs/>
              </w:rPr>
              <w:t xml:space="preserve"> decizională în </w:t>
            </w:r>
            <w:r w:rsidR="00135F81" w:rsidRPr="007A45A8">
              <w:rPr>
                <w:b/>
                <w:bCs/>
              </w:rPr>
              <w:t>administrația</w:t>
            </w:r>
            <w:r w:rsidR="00E6658F" w:rsidRPr="007A45A8">
              <w:rPr>
                <w:b/>
                <w:bCs/>
              </w:rPr>
              <w:t xml:space="preserve"> publică, republicată.</w:t>
            </w:r>
          </w:p>
          <w:p w:rsidR="00223CD1" w:rsidRPr="007A45A8" w:rsidRDefault="00770E01" w:rsidP="007A45A8">
            <w:pPr>
              <w:spacing w:after="120" w:line="276" w:lineRule="auto"/>
              <w:jc w:val="both"/>
            </w:pPr>
            <w:r w:rsidRPr="007A45A8">
              <w:rPr>
                <w:b/>
                <w:bCs/>
              </w:rPr>
              <w:t>6.2. Informaţii privind procesul de consultare cu organizaţii neguvernamentale, institute de cercetare şi alte organisme implicate</w:t>
            </w:r>
            <w:r w:rsidR="00223CD1" w:rsidRPr="007A45A8">
              <w:rPr>
                <w:b/>
                <w:bCs/>
              </w:rPr>
              <w:t xml:space="preserve">: </w:t>
            </w:r>
            <w:r w:rsidR="00223CD1" w:rsidRPr="007A45A8">
              <w:rPr>
                <w:rFonts w:eastAsia="Calibri"/>
              </w:rPr>
              <w:t>Nu este cazul</w:t>
            </w:r>
          </w:p>
          <w:p w:rsidR="00926ABC" w:rsidRPr="007A45A8" w:rsidRDefault="00770E01" w:rsidP="007A45A8">
            <w:pPr>
              <w:spacing w:after="120" w:line="276" w:lineRule="auto"/>
              <w:jc w:val="both"/>
              <w:rPr>
                <w:b/>
                <w:bCs/>
              </w:rPr>
            </w:pPr>
            <w:r w:rsidRPr="007A45A8">
              <w:rPr>
                <w:b/>
                <w:bCs/>
              </w:rPr>
              <w:t>6.3. Informații despre consultările organizate cu autoritățile administrației publice locale</w:t>
            </w:r>
          </w:p>
          <w:p w:rsidR="00223CD1" w:rsidRPr="007A45A8" w:rsidRDefault="00223CD1" w:rsidP="007A45A8">
            <w:pPr>
              <w:spacing w:after="120" w:line="276" w:lineRule="auto"/>
              <w:jc w:val="both"/>
              <w:rPr>
                <w:b/>
                <w:bCs/>
              </w:rPr>
            </w:pPr>
            <w:r w:rsidRPr="007A45A8">
              <w:rPr>
                <w:rFonts w:eastAsia="Calibri"/>
              </w:rPr>
              <w:t>Nu este cazul</w:t>
            </w:r>
            <w:r w:rsidRPr="007A45A8">
              <w:rPr>
                <w:b/>
                <w:bCs/>
              </w:rPr>
              <w:t xml:space="preserve"> </w:t>
            </w:r>
          </w:p>
          <w:p w:rsidR="002C122C" w:rsidRDefault="00770E01" w:rsidP="007A45A8">
            <w:pPr>
              <w:spacing w:after="120" w:line="276" w:lineRule="auto"/>
              <w:jc w:val="both"/>
              <w:rPr>
                <w:rFonts w:eastAsia="Calibri"/>
              </w:rPr>
            </w:pPr>
            <w:r w:rsidRPr="007A45A8">
              <w:rPr>
                <w:b/>
                <w:bCs/>
              </w:rPr>
              <w:t>6.4. Informații privind puncte de vedere/opinii emise de organisme consulative constituite prin acte normative</w:t>
            </w:r>
            <w:r w:rsidR="00223CD1" w:rsidRPr="007A45A8">
              <w:rPr>
                <w:b/>
                <w:bCs/>
              </w:rPr>
              <w:t xml:space="preserve">: </w:t>
            </w:r>
          </w:p>
          <w:p w:rsidR="00305233" w:rsidRPr="007A45A8" w:rsidRDefault="00305233" w:rsidP="007A45A8">
            <w:pPr>
              <w:spacing w:after="120" w:line="276" w:lineRule="auto"/>
              <w:jc w:val="both"/>
            </w:pPr>
            <w:r>
              <w:rPr>
                <w:rFonts w:eastAsia="Calibri"/>
              </w:rPr>
              <w:t>Proiectul de act normativ a fost transmis spre consultare către Banca Națională a României și către Autoritatea Națională pentru Supravegherea Prelucrării Datelor cu Caracter Personal.</w:t>
            </w:r>
          </w:p>
          <w:p w:rsidR="00770E01" w:rsidRPr="007A45A8" w:rsidRDefault="00770E01" w:rsidP="007A45A8">
            <w:pPr>
              <w:spacing w:after="120" w:line="276" w:lineRule="auto"/>
              <w:jc w:val="both"/>
              <w:rPr>
                <w:b/>
                <w:bCs/>
              </w:rPr>
            </w:pPr>
            <w:r w:rsidRPr="007A45A8">
              <w:rPr>
                <w:b/>
                <w:bCs/>
              </w:rPr>
              <w:t>6.5</w:t>
            </w:r>
            <w:r w:rsidR="004555DD" w:rsidRPr="007A45A8">
              <w:rPr>
                <w:b/>
                <w:bCs/>
              </w:rPr>
              <w:t>.</w:t>
            </w:r>
            <w:r w:rsidRPr="007A45A8">
              <w:rPr>
                <w:b/>
                <w:bCs/>
              </w:rPr>
              <w:t xml:space="preserve"> Informații privind avizarea de către:</w:t>
            </w:r>
          </w:p>
          <w:p w:rsidR="00770E01" w:rsidRPr="007A45A8" w:rsidRDefault="00770E01" w:rsidP="007A45A8">
            <w:pPr>
              <w:spacing w:after="120" w:line="276" w:lineRule="auto"/>
              <w:jc w:val="both"/>
            </w:pPr>
            <w:r w:rsidRPr="007A45A8">
              <w:t xml:space="preserve">a) Consiliul </w:t>
            </w:r>
            <w:r w:rsidR="008F6907" w:rsidRPr="007A45A8">
              <w:t>L</w:t>
            </w:r>
            <w:r w:rsidRPr="007A45A8">
              <w:t>egislativ</w:t>
            </w:r>
          </w:p>
          <w:p w:rsidR="00770E01" w:rsidRPr="007A45A8" w:rsidRDefault="00770E01" w:rsidP="007A45A8">
            <w:pPr>
              <w:spacing w:after="120" w:line="276" w:lineRule="auto"/>
              <w:jc w:val="both"/>
            </w:pPr>
            <w:r w:rsidRPr="007A45A8">
              <w:t>b)</w:t>
            </w:r>
            <w:r w:rsidR="00456611" w:rsidRPr="007A45A8">
              <w:t xml:space="preserve"> </w:t>
            </w:r>
            <w:r w:rsidRPr="007A45A8">
              <w:t>Consiliul Suprem de Apărare a Ţării</w:t>
            </w:r>
          </w:p>
          <w:p w:rsidR="00770E01" w:rsidRPr="007A45A8" w:rsidRDefault="00770E01" w:rsidP="007A45A8">
            <w:pPr>
              <w:spacing w:after="120" w:line="276" w:lineRule="auto"/>
              <w:jc w:val="both"/>
            </w:pPr>
            <w:r w:rsidRPr="007A45A8">
              <w:t>c)</w:t>
            </w:r>
            <w:r w:rsidR="00456611" w:rsidRPr="007A45A8">
              <w:t xml:space="preserve"> </w:t>
            </w:r>
            <w:r w:rsidRPr="007A45A8">
              <w:t>Consiliul Economic şi Social</w:t>
            </w:r>
          </w:p>
          <w:p w:rsidR="00770E01" w:rsidRPr="007A45A8" w:rsidRDefault="00770E01" w:rsidP="007A45A8">
            <w:pPr>
              <w:spacing w:after="120" w:line="276" w:lineRule="auto"/>
              <w:jc w:val="both"/>
            </w:pPr>
            <w:r w:rsidRPr="007A45A8">
              <w:t>d)</w:t>
            </w:r>
            <w:r w:rsidR="00456611" w:rsidRPr="007A45A8">
              <w:t xml:space="preserve"> </w:t>
            </w:r>
            <w:r w:rsidRPr="007A45A8">
              <w:t xml:space="preserve">Consiliul Concurenţei </w:t>
            </w:r>
          </w:p>
          <w:p w:rsidR="00770E01" w:rsidRPr="007A45A8" w:rsidRDefault="00770E01" w:rsidP="007A45A8">
            <w:pPr>
              <w:spacing w:after="120" w:line="276" w:lineRule="auto"/>
              <w:jc w:val="both"/>
            </w:pPr>
            <w:r w:rsidRPr="007A45A8">
              <w:t>e)</w:t>
            </w:r>
            <w:r w:rsidR="00456611" w:rsidRPr="007A45A8">
              <w:t xml:space="preserve"> </w:t>
            </w:r>
            <w:r w:rsidRPr="007A45A8">
              <w:t>Curtea de Conturi</w:t>
            </w:r>
          </w:p>
          <w:p w:rsidR="00E6658F" w:rsidRPr="007A45A8" w:rsidRDefault="00E6658F" w:rsidP="007A45A8">
            <w:pPr>
              <w:spacing w:after="120" w:line="276" w:lineRule="auto"/>
              <w:jc w:val="both"/>
            </w:pPr>
            <w:r w:rsidRPr="007A45A8">
              <w:t>Proiectul de act normativ va fi avizat de către Consiliul Economic şi Social și de către Consiliul Legislativ</w:t>
            </w:r>
          </w:p>
          <w:p w:rsidR="00770E01" w:rsidRPr="007A45A8" w:rsidRDefault="00770E01" w:rsidP="007A45A8">
            <w:pPr>
              <w:spacing w:after="120" w:line="276" w:lineRule="auto"/>
              <w:jc w:val="both"/>
              <w:rPr>
                <w:b/>
                <w:bCs/>
              </w:rPr>
            </w:pPr>
            <w:r w:rsidRPr="007A45A8">
              <w:rPr>
                <w:b/>
                <w:bCs/>
              </w:rPr>
              <w:t>6.6. Alte informații</w:t>
            </w:r>
            <w:r w:rsidR="00223CD1" w:rsidRPr="007A45A8">
              <w:rPr>
                <w:rFonts w:eastAsia="Calibri"/>
              </w:rPr>
              <w:t xml:space="preserve"> Nu este cazul</w:t>
            </w:r>
            <w:r w:rsidR="00223CD1" w:rsidRPr="007A45A8">
              <w:t>.</w:t>
            </w:r>
          </w:p>
        </w:tc>
      </w:tr>
    </w:tbl>
    <w:p w:rsidR="007A45A8" w:rsidRDefault="007A45A8" w:rsidP="007A45A8">
      <w:pPr>
        <w:pStyle w:val="BodyTextIndent2"/>
        <w:spacing w:before="0" w:line="276" w:lineRule="auto"/>
        <w:ind w:left="180" w:right="98" w:firstLine="540"/>
        <w:jc w:val="center"/>
        <w:rPr>
          <w:bCs w:val="0"/>
          <w:sz w:val="24"/>
        </w:rPr>
      </w:pPr>
    </w:p>
    <w:p w:rsidR="00770E01" w:rsidRPr="007A45A8" w:rsidRDefault="00670C79" w:rsidP="007A45A8">
      <w:pPr>
        <w:pStyle w:val="BodyTextIndent2"/>
        <w:spacing w:before="0" w:after="0" w:line="276" w:lineRule="auto"/>
        <w:ind w:left="180" w:right="98" w:firstLine="540"/>
        <w:jc w:val="center"/>
        <w:rPr>
          <w:bCs w:val="0"/>
          <w:sz w:val="24"/>
        </w:rPr>
      </w:pPr>
      <w:r w:rsidRPr="007A45A8">
        <w:rPr>
          <w:bCs w:val="0"/>
          <w:sz w:val="24"/>
        </w:rPr>
        <w:t>Secţiunea a 7-a</w:t>
      </w:r>
    </w:p>
    <w:p w:rsidR="00260E13" w:rsidRDefault="00670C79" w:rsidP="007A45A8">
      <w:pPr>
        <w:pStyle w:val="BodyTextIndent2"/>
        <w:spacing w:before="0" w:after="0" w:line="276" w:lineRule="auto"/>
        <w:ind w:left="180" w:right="98" w:firstLine="540"/>
        <w:jc w:val="center"/>
        <w:rPr>
          <w:bCs w:val="0"/>
          <w:sz w:val="24"/>
        </w:rPr>
      </w:pPr>
      <w:r w:rsidRPr="007A45A8">
        <w:rPr>
          <w:bCs w:val="0"/>
          <w:sz w:val="24"/>
        </w:rPr>
        <w:t xml:space="preserve">Activităţi de informare publică privind elaborarea şi implementarea </w:t>
      </w:r>
      <w:bookmarkStart w:id="0" w:name="_Hlk100229941"/>
      <w:r w:rsidRPr="007A45A8">
        <w:rPr>
          <w:bCs w:val="0"/>
          <w:sz w:val="24"/>
        </w:rPr>
        <w:t>proiectului de act normativ</w:t>
      </w:r>
      <w:bookmarkEnd w:id="0"/>
    </w:p>
    <w:p w:rsidR="00305233" w:rsidRPr="007A45A8" w:rsidRDefault="00305233" w:rsidP="007A45A8">
      <w:pPr>
        <w:pStyle w:val="BodyTextIndent2"/>
        <w:spacing w:before="0" w:after="0" w:line="276" w:lineRule="auto"/>
        <w:ind w:left="180" w:right="98" w:firstLine="540"/>
        <w:jc w:val="center"/>
        <w:rPr>
          <w:bCs w:val="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4E44C4" w:rsidRPr="007A45A8" w:rsidTr="00634CAE">
        <w:tc>
          <w:tcPr>
            <w:tcW w:w="10533" w:type="dxa"/>
          </w:tcPr>
          <w:p w:rsidR="00770E01" w:rsidRPr="007A45A8" w:rsidRDefault="00770E01" w:rsidP="007A45A8">
            <w:pPr>
              <w:spacing w:after="120" w:line="276" w:lineRule="auto"/>
              <w:jc w:val="both"/>
              <w:rPr>
                <w:b/>
                <w:bCs/>
              </w:rPr>
            </w:pPr>
            <w:r w:rsidRPr="007A45A8">
              <w:rPr>
                <w:b/>
                <w:bCs/>
              </w:rPr>
              <w:lastRenderedPageBreak/>
              <w:t xml:space="preserve">7.1. </w:t>
            </w:r>
            <w:r w:rsidR="0053566B" w:rsidRPr="007A45A8">
              <w:rPr>
                <w:b/>
                <w:bCs/>
              </w:rPr>
              <w:t>Informarea societăţii civile cu privire la elaborarea proiectului de act normativ</w:t>
            </w:r>
          </w:p>
          <w:p w:rsidR="00223CD1" w:rsidRPr="007A45A8" w:rsidRDefault="00223CD1" w:rsidP="007A45A8">
            <w:pPr>
              <w:spacing w:after="120" w:line="276" w:lineRule="auto"/>
              <w:jc w:val="both"/>
              <w:rPr>
                <w:rFonts w:eastAsia="Calibri"/>
                <w:bCs/>
              </w:rPr>
            </w:pPr>
            <w:r w:rsidRPr="007A45A8">
              <w:rPr>
                <w:rFonts w:eastAsia="Calibri"/>
                <w:bCs/>
              </w:rPr>
              <w:t>În procesul de elaborare a prezentului proiect de act normativ au fost respectate regulile procedurale aplicabile pentru  asigurarea transparenței decizionale prevăzute de Legea nr. 52/2003 privind transparența decizională în administrația publică, republicată.</w:t>
            </w:r>
          </w:p>
          <w:p w:rsidR="00E6658F" w:rsidRPr="007A45A8" w:rsidRDefault="00E6658F" w:rsidP="007A45A8">
            <w:pPr>
              <w:spacing w:after="120" w:line="276" w:lineRule="auto"/>
              <w:jc w:val="both"/>
              <w:rPr>
                <w:rFonts w:eastAsia="Calibri"/>
                <w:bCs/>
              </w:rPr>
            </w:pPr>
            <w:r w:rsidRPr="007A45A8">
              <w:rPr>
                <w:rFonts w:eastAsia="Calibri"/>
                <w:bCs/>
              </w:rPr>
              <w:t>Prezentul proiect de act normativ a fost supus comentariilor publicului, prin publicarea pe pagina de internet a Ministerului Muncii şi Solidarității Sociale</w:t>
            </w:r>
            <w:r w:rsidRPr="007A45A8">
              <w:rPr>
                <w:rFonts w:eastAsia="Calibri"/>
              </w:rPr>
              <w:t xml:space="preserve">, </w:t>
            </w:r>
            <w:r w:rsidR="00157B49" w:rsidRPr="007A45A8">
              <w:t>în perioada 22.08.2022</w:t>
            </w:r>
            <w:r w:rsidR="007A45A8" w:rsidRPr="007A45A8">
              <w:t xml:space="preserve"> </w:t>
            </w:r>
            <w:r w:rsidR="00157B49" w:rsidRPr="007A45A8">
              <w:t>-</w:t>
            </w:r>
            <w:r w:rsidR="007A45A8" w:rsidRPr="007A45A8">
              <w:t xml:space="preserve"> </w:t>
            </w:r>
            <w:r w:rsidR="00157B49" w:rsidRPr="007A45A8">
              <w:t>31.08.2022.</w:t>
            </w:r>
            <w:r w:rsidRPr="007A45A8">
              <w:rPr>
                <w:rFonts w:eastAsia="Calibri"/>
                <w:bCs/>
              </w:rPr>
              <w:t xml:space="preserve">                  </w:t>
            </w:r>
          </w:p>
          <w:p w:rsidR="00223CD1" w:rsidRPr="007A45A8" w:rsidRDefault="00223CD1" w:rsidP="007A45A8">
            <w:pPr>
              <w:spacing w:after="120" w:line="276" w:lineRule="auto"/>
              <w:jc w:val="both"/>
              <w:rPr>
                <w:rFonts w:eastAsia="Calibri"/>
                <w:bCs/>
              </w:rPr>
            </w:pPr>
            <w:r w:rsidRPr="007A45A8">
              <w:rPr>
                <w:rFonts w:eastAsia="Calibri"/>
                <w:bCs/>
              </w:rPr>
              <w:t>Au fost întreprinse demersurile legale prevăzute de art. 7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 din 10 mai 2009.</w:t>
            </w:r>
          </w:p>
          <w:p w:rsidR="0053566B" w:rsidRPr="007A45A8" w:rsidRDefault="0053566B" w:rsidP="007A45A8">
            <w:pPr>
              <w:spacing w:after="120" w:line="276" w:lineRule="auto"/>
              <w:jc w:val="both"/>
              <w:rPr>
                <w:b/>
                <w:bCs/>
              </w:rPr>
            </w:pPr>
            <w:r w:rsidRPr="007A45A8">
              <w:rPr>
                <w:b/>
                <w:bCs/>
              </w:rPr>
              <w:t>7.2. Informarea societăţii civile cu privire la e</w:t>
            </w:r>
            <w:r w:rsidR="008F6907" w:rsidRPr="007A45A8">
              <w:rPr>
                <w:b/>
                <w:bCs/>
              </w:rPr>
              <w:t>v</w:t>
            </w:r>
            <w:r w:rsidRPr="007A45A8">
              <w:rPr>
                <w:b/>
                <w:bCs/>
              </w:rPr>
              <w:t>entualul impact asupra mediului în urma implementării proiectului de act normativ, precum și efectele asupra sănătății și securității cetățenilor sau diversității biologice</w:t>
            </w:r>
          </w:p>
          <w:p w:rsidR="00223CD1" w:rsidRPr="007A45A8" w:rsidRDefault="00223CD1" w:rsidP="007A45A8">
            <w:pPr>
              <w:spacing w:after="120" w:line="276" w:lineRule="auto"/>
              <w:jc w:val="both"/>
              <w:rPr>
                <w:b/>
                <w:bCs/>
              </w:rPr>
            </w:pPr>
            <w:r w:rsidRPr="007A45A8">
              <w:t xml:space="preserve">Proiectul de act normativ nu se referă la acest subiect.  </w:t>
            </w:r>
          </w:p>
          <w:p w:rsidR="008F6907" w:rsidRPr="007A45A8" w:rsidRDefault="008F6907" w:rsidP="007A45A8">
            <w:pPr>
              <w:spacing w:after="120" w:line="276" w:lineRule="auto"/>
              <w:jc w:val="both"/>
              <w:rPr>
                <w:b/>
                <w:bCs/>
              </w:rPr>
            </w:pPr>
            <w:r w:rsidRPr="007A45A8">
              <w:rPr>
                <w:b/>
                <w:bCs/>
              </w:rPr>
              <w:t>7.3. Alte informații</w:t>
            </w:r>
          </w:p>
          <w:p w:rsidR="00223CD1" w:rsidRPr="007A45A8" w:rsidRDefault="00223CD1" w:rsidP="007A45A8">
            <w:pPr>
              <w:spacing w:after="120" w:line="276" w:lineRule="auto"/>
              <w:jc w:val="both"/>
              <w:rPr>
                <w:b/>
                <w:bCs/>
              </w:rPr>
            </w:pPr>
            <w:r w:rsidRPr="007A45A8">
              <w:t xml:space="preserve">Proiectul de act normativ nu se referă la acest subiect.  </w:t>
            </w:r>
          </w:p>
        </w:tc>
      </w:tr>
    </w:tbl>
    <w:p w:rsidR="007A45A8" w:rsidRDefault="007A45A8" w:rsidP="007A45A8">
      <w:pPr>
        <w:spacing w:after="120" w:line="276" w:lineRule="auto"/>
        <w:ind w:left="180" w:firstLine="540"/>
        <w:jc w:val="center"/>
        <w:rPr>
          <w:b/>
        </w:rPr>
      </w:pPr>
    </w:p>
    <w:p w:rsidR="0053566B" w:rsidRPr="007A45A8" w:rsidRDefault="00670C79" w:rsidP="007A45A8">
      <w:pPr>
        <w:spacing w:line="276" w:lineRule="auto"/>
        <w:ind w:left="180" w:firstLine="540"/>
        <w:jc w:val="center"/>
        <w:rPr>
          <w:b/>
        </w:rPr>
      </w:pPr>
      <w:r w:rsidRPr="007A45A8">
        <w:rPr>
          <w:b/>
        </w:rPr>
        <w:t>Secţiunea a 8</w:t>
      </w:r>
      <w:r w:rsidR="007A45A8" w:rsidRPr="007A45A8">
        <w:rPr>
          <w:b/>
        </w:rPr>
        <w:t xml:space="preserve"> </w:t>
      </w:r>
      <w:r w:rsidRPr="007A45A8">
        <w:rPr>
          <w:b/>
        </w:rPr>
        <w:t>- a</w:t>
      </w:r>
    </w:p>
    <w:p w:rsidR="00670C79" w:rsidRPr="007A45A8" w:rsidRDefault="00670C79" w:rsidP="007A45A8">
      <w:pPr>
        <w:spacing w:line="276" w:lineRule="auto"/>
        <w:ind w:left="180" w:firstLine="540"/>
        <w:jc w:val="center"/>
        <w:rPr>
          <w:b/>
        </w:rPr>
      </w:pPr>
      <w:r w:rsidRPr="007A45A8">
        <w:rPr>
          <w:b/>
        </w:rPr>
        <w:t xml:space="preserve">Măsuri </w:t>
      </w:r>
      <w:r w:rsidR="0053566B" w:rsidRPr="007A45A8">
        <w:rPr>
          <w:b/>
        </w:rPr>
        <w:t>privind</w:t>
      </w:r>
      <w:r w:rsidRPr="007A45A8">
        <w:rPr>
          <w:b/>
        </w:rPr>
        <w:t xml:space="preserve"> implementare</w:t>
      </w:r>
      <w:r w:rsidR="0053566B" w:rsidRPr="007A45A8">
        <w:rPr>
          <w:b/>
        </w:rPr>
        <w:t>a, monitorizarea și evaluarea proiectului de act normativ</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3"/>
      </w:tblGrid>
      <w:tr w:rsidR="004E44C4" w:rsidRPr="007A45A8" w:rsidTr="00435BC5">
        <w:tc>
          <w:tcPr>
            <w:tcW w:w="10553" w:type="dxa"/>
          </w:tcPr>
          <w:p w:rsidR="0053566B" w:rsidRPr="007A45A8" w:rsidRDefault="0053566B" w:rsidP="007A45A8">
            <w:pPr>
              <w:pStyle w:val="Heading1"/>
              <w:spacing w:after="120" w:line="276" w:lineRule="auto"/>
              <w:jc w:val="both"/>
              <w:rPr>
                <w:b/>
                <w:bCs/>
                <w:sz w:val="24"/>
              </w:rPr>
            </w:pPr>
            <w:r w:rsidRPr="007A45A8">
              <w:rPr>
                <w:b/>
                <w:bCs/>
                <w:sz w:val="24"/>
              </w:rPr>
              <w:t>8.1. Măsuri de punere în aplicare a proiectului de act normativ</w:t>
            </w:r>
          </w:p>
          <w:p w:rsidR="00223CD1" w:rsidRPr="007A45A8" w:rsidRDefault="00223CD1" w:rsidP="007A45A8">
            <w:pPr>
              <w:spacing w:after="120" w:line="276" w:lineRule="auto"/>
              <w:rPr>
                <w:rFonts w:eastAsia="Calibri"/>
              </w:rPr>
            </w:pPr>
            <w:r w:rsidRPr="007A45A8">
              <w:rPr>
                <w:rFonts w:eastAsia="Calibri"/>
              </w:rPr>
              <w:t xml:space="preserve">Autoritatea de Supraveghere Financiară va putea emite reglementări referitoare la toate aspectele prevăzute în proiectul de act normativ. </w:t>
            </w:r>
          </w:p>
          <w:p w:rsidR="00E42101" w:rsidRPr="007A45A8" w:rsidRDefault="0053566B" w:rsidP="007A45A8">
            <w:pPr>
              <w:tabs>
                <w:tab w:val="left" w:pos="2670"/>
              </w:tabs>
              <w:spacing w:after="120" w:line="276" w:lineRule="auto"/>
              <w:rPr>
                <w:b/>
                <w:bCs/>
              </w:rPr>
            </w:pPr>
            <w:r w:rsidRPr="007A45A8">
              <w:rPr>
                <w:b/>
                <w:bCs/>
              </w:rPr>
              <w:t>8.2. Alte informaţii</w:t>
            </w:r>
            <w:r w:rsidR="00223CD1" w:rsidRPr="007A45A8">
              <w:rPr>
                <w:b/>
                <w:bCs/>
              </w:rPr>
              <w:t xml:space="preserve">: </w:t>
            </w:r>
          </w:p>
          <w:p w:rsidR="00223CD1" w:rsidRPr="007A45A8" w:rsidRDefault="00223CD1" w:rsidP="007A45A8">
            <w:pPr>
              <w:tabs>
                <w:tab w:val="left" w:pos="2670"/>
              </w:tabs>
              <w:spacing w:after="120" w:line="276" w:lineRule="auto"/>
            </w:pPr>
            <w:r w:rsidRPr="007A45A8">
              <w:rPr>
                <w:rFonts w:eastAsia="Calibri"/>
              </w:rPr>
              <w:t>Nu este cazul</w:t>
            </w:r>
          </w:p>
        </w:tc>
      </w:tr>
    </w:tbl>
    <w:p w:rsidR="007A45A8" w:rsidRPr="007A45A8" w:rsidRDefault="007A45A8" w:rsidP="007A45A8">
      <w:pPr>
        <w:spacing w:line="276" w:lineRule="auto"/>
        <w:ind w:left="-426"/>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305233" w:rsidRDefault="00305233" w:rsidP="007A45A8">
      <w:pPr>
        <w:spacing w:line="276" w:lineRule="auto"/>
        <w:jc w:val="both"/>
        <w:rPr>
          <w:rFonts w:eastAsia="Calibri"/>
        </w:rPr>
      </w:pPr>
    </w:p>
    <w:p w:rsidR="00223CD1" w:rsidRPr="007A45A8" w:rsidRDefault="007A45A8" w:rsidP="007A45A8">
      <w:pPr>
        <w:spacing w:line="276" w:lineRule="auto"/>
        <w:jc w:val="both"/>
        <w:rPr>
          <w:rFonts w:eastAsia="Calibri"/>
        </w:rPr>
      </w:pPr>
      <w:r w:rsidRPr="007A45A8">
        <w:rPr>
          <w:rFonts w:eastAsia="Calibri"/>
        </w:rPr>
        <w:lastRenderedPageBreak/>
        <w:t>Față de cele prezentate, a fost elaborat proiectul de Ordonanță de urgență pentru modificarea şi completarea unor acte normative în domeniul pensiilor private, pe care îl supunem aprobării.</w:t>
      </w:r>
    </w:p>
    <w:p w:rsidR="008F6907" w:rsidRPr="007A45A8" w:rsidRDefault="008F6907" w:rsidP="007A45A8">
      <w:pPr>
        <w:jc w:val="center"/>
      </w:pPr>
      <w:bookmarkStart w:id="1" w:name="_GoBack"/>
      <w:bookmarkEnd w:id="1"/>
    </w:p>
    <w:sectPr w:rsidR="008F6907" w:rsidRPr="007A45A8" w:rsidSect="008E1534">
      <w:footerReference w:type="even" r:id="rId8"/>
      <w:footerReference w:type="default" r:id="rId9"/>
      <w:pgSz w:w="12240" w:h="15840"/>
      <w:pgMar w:top="73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37" w:rsidRDefault="006F6D37">
      <w:r>
        <w:separator/>
      </w:r>
    </w:p>
  </w:endnote>
  <w:endnote w:type="continuationSeparator" w:id="0">
    <w:p w:rsidR="006F6D37" w:rsidRDefault="006F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B" w:rsidRDefault="00670C79" w:rsidP="00AC7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23CB" w:rsidRDefault="006F6D37" w:rsidP="001C581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034183"/>
      <w:docPartObj>
        <w:docPartGallery w:val="Page Numbers (Bottom of Page)"/>
        <w:docPartUnique/>
      </w:docPartObj>
    </w:sdtPr>
    <w:sdtEndPr>
      <w:rPr>
        <w:noProof/>
      </w:rPr>
    </w:sdtEndPr>
    <w:sdtContent>
      <w:p w:rsidR="005C5778" w:rsidRDefault="005C5778">
        <w:pPr>
          <w:pStyle w:val="Footer"/>
          <w:jc w:val="right"/>
        </w:pPr>
        <w:r>
          <w:fldChar w:fldCharType="begin"/>
        </w:r>
        <w:r>
          <w:instrText xml:space="preserve"> PAGE   \* MERGEFORMAT </w:instrText>
        </w:r>
        <w:r>
          <w:fldChar w:fldCharType="separate"/>
        </w:r>
        <w:r w:rsidR="008D47E9">
          <w:rPr>
            <w:noProof/>
          </w:rPr>
          <w:t>9</w:t>
        </w:r>
        <w:r>
          <w:rPr>
            <w:noProof/>
          </w:rPr>
          <w:fldChar w:fldCharType="end"/>
        </w:r>
      </w:p>
    </w:sdtContent>
  </w:sdt>
  <w:p w:rsidR="00EA23CB" w:rsidRDefault="006F6D37" w:rsidP="001C581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37" w:rsidRDefault="006F6D37">
      <w:r>
        <w:separator/>
      </w:r>
    </w:p>
  </w:footnote>
  <w:footnote w:type="continuationSeparator" w:id="0">
    <w:p w:rsidR="006F6D37" w:rsidRDefault="006F6D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1E1"/>
    <w:multiLevelType w:val="hybridMultilevel"/>
    <w:tmpl w:val="4ECC3AC2"/>
    <w:lvl w:ilvl="0" w:tplc="08309CAE">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BD465A5"/>
    <w:multiLevelType w:val="hybridMultilevel"/>
    <w:tmpl w:val="55CA8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A3863"/>
    <w:multiLevelType w:val="hybridMultilevel"/>
    <w:tmpl w:val="8F3EDD4E"/>
    <w:lvl w:ilvl="0" w:tplc="FF4228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B5745"/>
    <w:multiLevelType w:val="hybridMultilevel"/>
    <w:tmpl w:val="4F46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52885"/>
    <w:multiLevelType w:val="hybridMultilevel"/>
    <w:tmpl w:val="228A6CCC"/>
    <w:lvl w:ilvl="0" w:tplc="788AA9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3487A"/>
    <w:multiLevelType w:val="hybridMultilevel"/>
    <w:tmpl w:val="76A40B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5E3BB0"/>
    <w:multiLevelType w:val="hybridMultilevel"/>
    <w:tmpl w:val="81C2583E"/>
    <w:lvl w:ilvl="0" w:tplc="0D6C67E0">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3352AF1"/>
    <w:multiLevelType w:val="multilevel"/>
    <w:tmpl w:val="48A6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1365F"/>
    <w:multiLevelType w:val="hybridMultilevel"/>
    <w:tmpl w:val="576421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E1D40AD"/>
    <w:multiLevelType w:val="hybridMultilevel"/>
    <w:tmpl w:val="EFF2C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631FA"/>
    <w:multiLevelType w:val="hybridMultilevel"/>
    <w:tmpl w:val="D68EB3A2"/>
    <w:lvl w:ilvl="0" w:tplc="EE562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57904B7"/>
    <w:multiLevelType w:val="hybridMultilevel"/>
    <w:tmpl w:val="28F47BF0"/>
    <w:lvl w:ilvl="0" w:tplc="A6BC1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F1295"/>
    <w:multiLevelType w:val="hybridMultilevel"/>
    <w:tmpl w:val="0CF8FBF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79B149B5"/>
    <w:multiLevelType w:val="hybridMultilevel"/>
    <w:tmpl w:val="C32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87E24"/>
    <w:multiLevelType w:val="hybridMultilevel"/>
    <w:tmpl w:val="84C4FC1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1"/>
  </w:num>
  <w:num w:numId="2">
    <w:abstractNumId w:val="14"/>
  </w:num>
  <w:num w:numId="3">
    <w:abstractNumId w:val="10"/>
  </w:num>
  <w:num w:numId="4">
    <w:abstractNumId w:val="2"/>
  </w:num>
  <w:num w:numId="5">
    <w:abstractNumId w:val="7"/>
  </w:num>
  <w:num w:numId="6">
    <w:abstractNumId w:val="13"/>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8"/>
  </w:num>
  <w:num w:numId="12">
    <w:abstractNumId w:val="5"/>
  </w:num>
  <w:num w:numId="13">
    <w:abstractNumId w:val="4"/>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A6"/>
    <w:rsid w:val="000019B6"/>
    <w:rsid w:val="00002E4A"/>
    <w:rsid w:val="000040A1"/>
    <w:rsid w:val="000042B4"/>
    <w:rsid w:val="00006714"/>
    <w:rsid w:val="00006F20"/>
    <w:rsid w:val="0000707B"/>
    <w:rsid w:val="0001318A"/>
    <w:rsid w:val="00013621"/>
    <w:rsid w:val="0001442E"/>
    <w:rsid w:val="000155D5"/>
    <w:rsid w:val="000160F3"/>
    <w:rsid w:val="00017D04"/>
    <w:rsid w:val="0002299E"/>
    <w:rsid w:val="00024F37"/>
    <w:rsid w:val="00025015"/>
    <w:rsid w:val="000260DD"/>
    <w:rsid w:val="000265F7"/>
    <w:rsid w:val="00026B13"/>
    <w:rsid w:val="00027469"/>
    <w:rsid w:val="00031D8D"/>
    <w:rsid w:val="0003205B"/>
    <w:rsid w:val="00035D17"/>
    <w:rsid w:val="000369EF"/>
    <w:rsid w:val="00040B7B"/>
    <w:rsid w:val="00043471"/>
    <w:rsid w:val="00043911"/>
    <w:rsid w:val="00043CB5"/>
    <w:rsid w:val="00044209"/>
    <w:rsid w:val="0004452D"/>
    <w:rsid w:val="00046B44"/>
    <w:rsid w:val="000503A8"/>
    <w:rsid w:val="00054869"/>
    <w:rsid w:val="00054DF8"/>
    <w:rsid w:val="000563C0"/>
    <w:rsid w:val="00057629"/>
    <w:rsid w:val="00057EC8"/>
    <w:rsid w:val="00060E2F"/>
    <w:rsid w:val="00061E6F"/>
    <w:rsid w:val="0006216F"/>
    <w:rsid w:val="00062BA0"/>
    <w:rsid w:val="0006409E"/>
    <w:rsid w:val="00064A6B"/>
    <w:rsid w:val="00064E28"/>
    <w:rsid w:val="0006612F"/>
    <w:rsid w:val="00070830"/>
    <w:rsid w:val="00073195"/>
    <w:rsid w:val="000733D3"/>
    <w:rsid w:val="0007609F"/>
    <w:rsid w:val="00076C55"/>
    <w:rsid w:val="000800C2"/>
    <w:rsid w:val="000808EE"/>
    <w:rsid w:val="00081475"/>
    <w:rsid w:val="00083DB6"/>
    <w:rsid w:val="00083EAF"/>
    <w:rsid w:val="00084EE5"/>
    <w:rsid w:val="00084F56"/>
    <w:rsid w:val="00085904"/>
    <w:rsid w:val="00086114"/>
    <w:rsid w:val="00087383"/>
    <w:rsid w:val="00087C48"/>
    <w:rsid w:val="00090676"/>
    <w:rsid w:val="0009222E"/>
    <w:rsid w:val="00092376"/>
    <w:rsid w:val="0009320D"/>
    <w:rsid w:val="00094131"/>
    <w:rsid w:val="00094481"/>
    <w:rsid w:val="000949D2"/>
    <w:rsid w:val="00094AE3"/>
    <w:rsid w:val="00095300"/>
    <w:rsid w:val="0009621B"/>
    <w:rsid w:val="000A06E8"/>
    <w:rsid w:val="000A437E"/>
    <w:rsid w:val="000A6298"/>
    <w:rsid w:val="000A71F1"/>
    <w:rsid w:val="000B036B"/>
    <w:rsid w:val="000B1818"/>
    <w:rsid w:val="000B391A"/>
    <w:rsid w:val="000B3D76"/>
    <w:rsid w:val="000B4945"/>
    <w:rsid w:val="000B55D8"/>
    <w:rsid w:val="000B650E"/>
    <w:rsid w:val="000B665D"/>
    <w:rsid w:val="000B7506"/>
    <w:rsid w:val="000B753E"/>
    <w:rsid w:val="000C3277"/>
    <w:rsid w:val="000C3586"/>
    <w:rsid w:val="000C3625"/>
    <w:rsid w:val="000C4A4F"/>
    <w:rsid w:val="000C54A4"/>
    <w:rsid w:val="000C614B"/>
    <w:rsid w:val="000C7D63"/>
    <w:rsid w:val="000C7EAF"/>
    <w:rsid w:val="000C7EEC"/>
    <w:rsid w:val="000D0889"/>
    <w:rsid w:val="000D23B9"/>
    <w:rsid w:val="000D2B20"/>
    <w:rsid w:val="000D315E"/>
    <w:rsid w:val="000D403B"/>
    <w:rsid w:val="000D4132"/>
    <w:rsid w:val="000D44EF"/>
    <w:rsid w:val="000D4C09"/>
    <w:rsid w:val="000E0EA4"/>
    <w:rsid w:val="000E2C2D"/>
    <w:rsid w:val="000E3A58"/>
    <w:rsid w:val="000E49BB"/>
    <w:rsid w:val="000E5D6F"/>
    <w:rsid w:val="000E6FCF"/>
    <w:rsid w:val="000E74F5"/>
    <w:rsid w:val="000F269F"/>
    <w:rsid w:val="000F26C2"/>
    <w:rsid w:val="000F40EF"/>
    <w:rsid w:val="000F6105"/>
    <w:rsid w:val="000F7896"/>
    <w:rsid w:val="00100251"/>
    <w:rsid w:val="00101A9B"/>
    <w:rsid w:val="001023B0"/>
    <w:rsid w:val="0010482B"/>
    <w:rsid w:val="00105808"/>
    <w:rsid w:val="001067AA"/>
    <w:rsid w:val="00106FB3"/>
    <w:rsid w:val="00106FE8"/>
    <w:rsid w:val="00107736"/>
    <w:rsid w:val="00107740"/>
    <w:rsid w:val="001077E3"/>
    <w:rsid w:val="00107E28"/>
    <w:rsid w:val="001110C2"/>
    <w:rsid w:val="00112E9E"/>
    <w:rsid w:val="001147BA"/>
    <w:rsid w:val="0011501B"/>
    <w:rsid w:val="00115083"/>
    <w:rsid w:val="00115131"/>
    <w:rsid w:val="00121CCC"/>
    <w:rsid w:val="001250F7"/>
    <w:rsid w:val="00125245"/>
    <w:rsid w:val="00126BBF"/>
    <w:rsid w:val="00130ADF"/>
    <w:rsid w:val="00131281"/>
    <w:rsid w:val="001313D8"/>
    <w:rsid w:val="0013230E"/>
    <w:rsid w:val="00133A3B"/>
    <w:rsid w:val="00135F81"/>
    <w:rsid w:val="0013619D"/>
    <w:rsid w:val="0013676D"/>
    <w:rsid w:val="00137A13"/>
    <w:rsid w:val="001459BC"/>
    <w:rsid w:val="0014608E"/>
    <w:rsid w:val="0014728C"/>
    <w:rsid w:val="001500EA"/>
    <w:rsid w:val="00152085"/>
    <w:rsid w:val="001528E8"/>
    <w:rsid w:val="00153B2A"/>
    <w:rsid w:val="0015446A"/>
    <w:rsid w:val="001544DC"/>
    <w:rsid w:val="00156951"/>
    <w:rsid w:val="0015762E"/>
    <w:rsid w:val="00157B49"/>
    <w:rsid w:val="00157B5B"/>
    <w:rsid w:val="00160148"/>
    <w:rsid w:val="00161A61"/>
    <w:rsid w:val="00164F79"/>
    <w:rsid w:val="00164FF3"/>
    <w:rsid w:val="00165A07"/>
    <w:rsid w:val="00165C92"/>
    <w:rsid w:val="00165D35"/>
    <w:rsid w:val="0016702F"/>
    <w:rsid w:val="0016785A"/>
    <w:rsid w:val="00167EF9"/>
    <w:rsid w:val="0017030A"/>
    <w:rsid w:val="00170D4E"/>
    <w:rsid w:val="00172493"/>
    <w:rsid w:val="00173986"/>
    <w:rsid w:val="0017630C"/>
    <w:rsid w:val="001776C1"/>
    <w:rsid w:val="00177CD3"/>
    <w:rsid w:val="00177EC3"/>
    <w:rsid w:val="00180B7B"/>
    <w:rsid w:val="00181323"/>
    <w:rsid w:val="0018173D"/>
    <w:rsid w:val="00181DB6"/>
    <w:rsid w:val="0019189C"/>
    <w:rsid w:val="001919CC"/>
    <w:rsid w:val="0019387C"/>
    <w:rsid w:val="001945C9"/>
    <w:rsid w:val="001A0854"/>
    <w:rsid w:val="001A0AEA"/>
    <w:rsid w:val="001A1AA3"/>
    <w:rsid w:val="001A1AE5"/>
    <w:rsid w:val="001A1D31"/>
    <w:rsid w:val="001A2A6E"/>
    <w:rsid w:val="001A374F"/>
    <w:rsid w:val="001A4420"/>
    <w:rsid w:val="001A78A0"/>
    <w:rsid w:val="001A7C31"/>
    <w:rsid w:val="001B1912"/>
    <w:rsid w:val="001B1AD6"/>
    <w:rsid w:val="001B22D1"/>
    <w:rsid w:val="001B23D0"/>
    <w:rsid w:val="001B2B36"/>
    <w:rsid w:val="001B3B27"/>
    <w:rsid w:val="001B4FE1"/>
    <w:rsid w:val="001B6DD8"/>
    <w:rsid w:val="001B7961"/>
    <w:rsid w:val="001C2EA5"/>
    <w:rsid w:val="001C33B5"/>
    <w:rsid w:val="001C3EF4"/>
    <w:rsid w:val="001C4735"/>
    <w:rsid w:val="001C55B8"/>
    <w:rsid w:val="001C6BF4"/>
    <w:rsid w:val="001C7510"/>
    <w:rsid w:val="001C7F48"/>
    <w:rsid w:val="001D0467"/>
    <w:rsid w:val="001D130F"/>
    <w:rsid w:val="001D7448"/>
    <w:rsid w:val="001E058E"/>
    <w:rsid w:val="001E0BD4"/>
    <w:rsid w:val="001E0D0D"/>
    <w:rsid w:val="001E10D6"/>
    <w:rsid w:val="001E11B1"/>
    <w:rsid w:val="001E2092"/>
    <w:rsid w:val="001E236E"/>
    <w:rsid w:val="001E5470"/>
    <w:rsid w:val="001E55B3"/>
    <w:rsid w:val="001E69E4"/>
    <w:rsid w:val="001E6A4B"/>
    <w:rsid w:val="001E708B"/>
    <w:rsid w:val="001E7255"/>
    <w:rsid w:val="001F14A2"/>
    <w:rsid w:val="001F1E7E"/>
    <w:rsid w:val="001F1FD9"/>
    <w:rsid w:val="001F418F"/>
    <w:rsid w:val="001F6D5C"/>
    <w:rsid w:val="001F700D"/>
    <w:rsid w:val="001F7034"/>
    <w:rsid w:val="001F733F"/>
    <w:rsid w:val="002002B0"/>
    <w:rsid w:val="00200720"/>
    <w:rsid w:val="00205D16"/>
    <w:rsid w:val="00210E9C"/>
    <w:rsid w:val="00211627"/>
    <w:rsid w:val="002116FE"/>
    <w:rsid w:val="00213877"/>
    <w:rsid w:val="00213BDB"/>
    <w:rsid w:val="002153E2"/>
    <w:rsid w:val="00217238"/>
    <w:rsid w:val="00217BF3"/>
    <w:rsid w:val="00217DFE"/>
    <w:rsid w:val="00220BDB"/>
    <w:rsid w:val="00221987"/>
    <w:rsid w:val="00221B2B"/>
    <w:rsid w:val="00223491"/>
    <w:rsid w:val="00223AFB"/>
    <w:rsid w:val="00223CD1"/>
    <w:rsid w:val="00225653"/>
    <w:rsid w:val="00227A62"/>
    <w:rsid w:val="00230EAE"/>
    <w:rsid w:val="00231324"/>
    <w:rsid w:val="00231F26"/>
    <w:rsid w:val="00232ED4"/>
    <w:rsid w:val="0023360D"/>
    <w:rsid w:val="002337CA"/>
    <w:rsid w:val="00233A87"/>
    <w:rsid w:val="00233D49"/>
    <w:rsid w:val="0023404B"/>
    <w:rsid w:val="002348DD"/>
    <w:rsid w:val="00234AB0"/>
    <w:rsid w:val="00234B65"/>
    <w:rsid w:val="002354D3"/>
    <w:rsid w:val="002404DC"/>
    <w:rsid w:val="002404F7"/>
    <w:rsid w:val="00241DCA"/>
    <w:rsid w:val="00244CF8"/>
    <w:rsid w:val="00250C5C"/>
    <w:rsid w:val="00251605"/>
    <w:rsid w:val="00256383"/>
    <w:rsid w:val="0025682E"/>
    <w:rsid w:val="00260751"/>
    <w:rsid w:val="00260E13"/>
    <w:rsid w:val="002623AD"/>
    <w:rsid w:val="00262462"/>
    <w:rsid w:val="0026264B"/>
    <w:rsid w:val="00262AAC"/>
    <w:rsid w:val="00262CFA"/>
    <w:rsid w:val="00267571"/>
    <w:rsid w:val="00271D4C"/>
    <w:rsid w:val="00272D53"/>
    <w:rsid w:val="0027308F"/>
    <w:rsid w:val="00275947"/>
    <w:rsid w:val="00275D3D"/>
    <w:rsid w:val="00276B03"/>
    <w:rsid w:val="0027750A"/>
    <w:rsid w:val="00280BAF"/>
    <w:rsid w:val="00282E65"/>
    <w:rsid w:val="00283DDB"/>
    <w:rsid w:val="00286173"/>
    <w:rsid w:val="0028644E"/>
    <w:rsid w:val="00286541"/>
    <w:rsid w:val="002869DC"/>
    <w:rsid w:val="00286DEC"/>
    <w:rsid w:val="00294152"/>
    <w:rsid w:val="0029430E"/>
    <w:rsid w:val="00294D46"/>
    <w:rsid w:val="002A409A"/>
    <w:rsid w:val="002A41C3"/>
    <w:rsid w:val="002A4A4D"/>
    <w:rsid w:val="002A7775"/>
    <w:rsid w:val="002A7B24"/>
    <w:rsid w:val="002B04F6"/>
    <w:rsid w:val="002B2155"/>
    <w:rsid w:val="002B2716"/>
    <w:rsid w:val="002B28B0"/>
    <w:rsid w:val="002B583C"/>
    <w:rsid w:val="002B689E"/>
    <w:rsid w:val="002B7888"/>
    <w:rsid w:val="002C122C"/>
    <w:rsid w:val="002C129E"/>
    <w:rsid w:val="002C1C7F"/>
    <w:rsid w:val="002C3361"/>
    <w:rsid w:val="002C37C4"/>
    <w:rsid w:val="002C4610"/>
    <w:rsid w:val="002C5396"/>
    <w:rsid w:val="002C6EEE"/>
    <w:rsid w:val="002D2048"/>
    <w:rsid w:val="002D214D"/>
    <w:rsid w:val="002D3A08"/>
    <w:rsid w:val="002D3CFD"/>
    <w:rsid w:val="002D519D"/>
    <w:rsid w:val="002D63DE"/>
    <w:rsid w:val="002E20A6"/>
    <w:rsid w:val="002E22BC"/>
    <w:rsid w:val="002E3AFC"/>
    <w:rsid w:val="002E3BEE"/>
    <w:rsid w:val="002E5329"/>
    <w:rsid w:val="002E5723"/>
    <w:rsid w:val="002E5889"/>
    <w:rsid w:val="002E6018"/>
    <w:rsid w:val="002E6BA8"/>
    <w:rsid w:val="002E7997"/>
    <w:rsid w:val="002E7E37"/>
    <w:rsid w:val="002F01BF"/>
    <w:rsid w:val="002F0CE9"/>
    <w:rsid w:val="002F1A5E"/>
    <w:rsid w:val="002F2645"/>
    <w:rsid w:val="002F36E2"/>
    <w:rsid w:val="002F4425"/>
    <w:rsid w:val="00300E1C"/>
    <w:rsid w:val="00302ADB"/>
    <w:rsid w:val="00302D6F"/>
    <w:rsid w:val="00302EF5"/>
    <w:rsid w:val="003034B1"/>
    <w:rsid w:val="00304361"/>
    <w:rsid w:val="00305061"/>
    <w:rsid w:val="00305233"/>
    <w:rsid w:val="0030581C"/>
    <w:rsid w:val="00305E5F"/>
    <w:rsid w:val="00306119"/>
    <w:rsid w:val="00310F95"/>
    <w:rsid w:val="00312439"/>
    <w:rsid w:val="003127E6"/>
    <w:rsid w:val="00312E6E"/>
    <w:rsid w:val="00312FF3"/>
    <w:rsid w:val="003138A1"/>
    <w:rsid w:val="00315CB8"/>
    <w:rsid w:val="003179ED"/>
    <w:rsid w:val="00320940"/>
    <w:rsid w:val="003222C2"/>
    <w:rsid w:val="00322480"/>
    <w:rsid w:val="00324260"/>
    <w:rsid w:val="00324785"/>
    <w:rsid w:val="00324938"/>
    <w:rsid w:val="00325BC3"/>
    <w:rsid w:val="003278FD"/>
    <w:rsid w:val="00330048"/>
    <w:rsid w:val="00332715"/>
    <w:rsid w:val="00332FEB"/>
    <w:rsid w:val="00333AB9"/>
    <w:rsid w:val="003357CA"/>
    <w:rsid w:val="00335C69"/>
    <w:rsid w:val="003456BD"/>
    <w:rsid w:val="00345C6D"/>
    <w:rsid w:val="0034765C"/>
    <w:rsid w:val="003543EA"/>
    <w:rsid w:val="003545B2"/>
    <w:rsid w:val="003547E5"/>
    <w:rsid w:val="0035521E"/>
    <w:rsid w:val="00355320"/>
    <w:rsid w:val="00355C12"/>
    <w:rsid w:val="00356457"/>
    <w:rsid w:val="003569BD"/>
    <w:rsid w:val="00357FC9"/>
    <w:rsid w:val="003605E7"/>
    <w:rsid w:val="00361063"/>
    <w:rsid w:val="0036135D"/>
    <w:rsid w:val="00361881"/>
    <w:rsid w:val="00365A86"/>
    <w:rsid w:val="00365DE7"/>
    <w:rsid w:val="003668CF"/>
    <w:rsid w:val="00370427"/>
    <w:rsid w:val="0037559F"/>
    <w:rsid w:val="00375B28"/>
    <w:rsid w:val="0037675E"/>
    <w:rsid w:val="00377E94"/>
    <w:rsid w:val="00381090"/>
    <w:rsid w:val="00381CD7"/>
    <w:rsid w:val="00385BC3"/>
    <w:rsid w:val="003864F6"/>
    <w:rsid w:val="00390E31"/>
    <w:rsid w:val="00391737"/>
    <w:rsid w:val="0039344D"/>
    <w:rsid w:val="00393638"/>
    <w:rsid w:val="00396A04"/>
    <w:rsid w:val="00397570"/>
    <w:rsid w:val="003A0915"/>
    <w:rsid w:val="003A3349"/>
    <w:rsid w:val="003A367D"/>
    <w:rsid w:val="003A6698"/>
    <w:rsid w:val="003A7570"/>
    <w:rsid w:val="003A7CA2"/>
    <w:rsid w:val="003A7CC0"/>
    <w:rsid w:val="003B02B3"/>
    <w:rsid w:val="003B0C77"/>
    <w:rsid w:val="003B2329"/>
    <w:rsid w:val="003B3A2C"/>
    <w:rsid w:val="003B3F0B"/>
    <w:rsid w:val="003B424D"/>
    <w:rsid w:val="003B68CD"/>
    <w:rsid w:val="003B6E10"/>
    <w:rsid w:val="003C1670"/>
    <w:rsid w:val="003C19BF"/>
    <w:rsid w:val="003C4D24"/>
    <w:rsid w:val="003C56CF"/>
    <w:rsid w:val="003C6B82"/>
    <w:rsid w:val="003C6D3A"/>
    <w:rsid w:val="003D092D"/>
    <w:rsid w:val="003D4A34"/>
    <w:rsid w:val="003D6235"/>
    <w:rsid w:val="003E080A"/>
    <w:rsid w:val="003E0917"/>
    <w:rsid w:val="003E358F"/>
    <w:rsid w:val="003E4AD3"/>
    <w:rsid w:val="003E5FF2"/>
    <w:rsid w:val="003F046A"/>
    <w:rsid w:val="003F10F8"/>
    <w:rsid w:val="003F4EA4"/>
    <w:rsid w:val="003F5CF6"/>
    <w:rsid w:val="003F6ACA"/>
    <w:rsid w:val="003F7AF4"/>
    <w:rsid w:val="0040003B"/>
    <w:rsid w:val="004005AC"/>
    <w:rsid w:val="004007BE"/>
    <w:rsid w:val="00402A15"/>
    <w:rsid w:val="0040434F"/>
    <w:rsid w:val="00405F21"/>
    <w:rsid w:val="00406B07"/>
    <w:rsid w:val="00406FBE"/>
    <w:rsid w:val="0041039C"/>
    <w:rsid w:val="004162F1"/>
    <w:rsid w:val="0042197D"/>
    <w:rsid w:val="004248D9"/>
    <w:rsid w:val="00425D30"/>
    <w:rsid w:val="00426482"/>
    <w:rsid w:val="004268A6"/>
    <w:rsid w:val="00427CE2"/>
    <w:rsid w:val="00434D7D"/>
    <w:rsid w:val="004353EE"/>
    <w:rsid w:val="00435F83"/>
    <w:rsid w:val="004362A6"/>
    <w:rsid w:val="00440136"/>
    <w:rsid w:val="0044348E"/>
    <w:rsid w:val="004449A8"/>
    <w:rsid w:val="00445A50"/>
    <w:rsid w:val="00446A81"/>
    <w:rsid w:val="00446B21"/>
    <w:rsid w:val="00446C51"/>
    <w:rsid w:val="004472F0"/>
    <w:rsid w:val="004516D9"/>
    <w:rsid w:val="00454D72"/>
    <w:rsid w:val="004555DD"/>
    <w:rsid w:val="00455719"/>
    <w:rsid w:val="004561E9"/>
    <w:rsid w:val="004562CD"/>
    <w:rsid w:val="0045656F"/>
    <w:rsid w:val="00456611"/>
    <w:rsid w:val="00460CE3"/>
    <w:rsid w:val="00461DC3"/>
    <w:rsid w:val="0046279C"/>
    <w:rsid w:val="00462C37"/>
    <w:rsid w:val="00463434"/>
    <w:rsid w:val="00463E98"/>
    <w:rsid w:val="00464AED"/>
    <w:rsid w:val="0046568A"/>
    <w:rsid w:val="00473382"/>
    <w:rsid w:val="00473DA2"/>
    <w:rsid w:val="00475C30"/>
    <w:rsid w:val="0047738F"/>
    <w:rsid w:val="00477DA1"/>
    <w:rsid w:val="004803F0"/>
    <w:rsid w:val="004806BE"/>
    <w:rsid w:val="00481A82"/>
    <w:rsid w:val="00486DF5"/>
    <w:rsid w:val="00492D8F"/>
    <w:rsid w:val="00493464"/>
    <w:rsid w:val="004939DF"/>
    <w:rsid w:val="0049586B"/>
    <w:rsid w:val="00495918"/>
    <w:rsid w:val="00495B40"/>
    <w:rsid w:val="004A2289"/>
    <w:rsid w:val="004A26E1"/>
    <w:rsid w:val="004A39EE"/>
    <w:rsid w:val="004A51ED"/>
    <w:rsid w:val="004A6FCC"/>
    <w:rsid w:val="004B13DF"/>
    <w:rsid w:val="004B1759"/>
    <w:rsid w:val="004B1ABD"/>
    <w:rsid w:val="004B23FC"/>
    <w:rsid w:val="004B254E"/>
    <w:rsid w:val="004B3C0A"/>
    <w:rsid w:val="004B3F38"/>
    <w:rsid w:val="004B64A6"/>
    <w:rsid w:val="004B7202"/>
    <w:rsid w:val="004B7CAD"/>
    <w:rsid w:val="004C0503"/>
    <w:rsid w:val="004C07F9"/>
    <w:rsid w:val="004C103A"/>
    <w:rsid w:val="004C1092"/>
    <w:rsid w:val="004C1338"/>
    <w:rsid w:val="004C7417"/>
    <w:rsid w:val="004D1B68"/>
    <w:rsid w:val="004D1FC0"/>
    <w:rsid w:val="004D210B"/>
    <w:rsid w:val="004D24D3"/>
    <w:rsid w:val="004D279E"/>
    <w:rsid w:val="004D27EE"/>
    <w:rsid w:val="004D5BA3"/>
    <w:rsid w:val="004D6ABC"/>
    <w:rsid w:val="004E1034"/>
    <w:rsid w:val="004E13AF"/>
    <w:rsid w:val="004E2CA0"/>
    <w:rsid w:val="004E40FD"/>
    <w:rsid w:val="004E44C4"/>
    <w:rsid w:val="004E789F"/>
    <w:rsid w:val="004F0E4B"/>
    <w:rsid w:val="004F1FFD"/>
    <w:rsid w:val="004F49AA"/>
    <w:rsid w:val="004F521A"/>
    <w:rsid w:val="004F551E"/>
    <w:rsid w:val="005005B8"/>
    <w:rsid w:val="0050109F"/>
    <w:rsid w:val="00505AF3"/>
    <w:rsid w:val="005066F6"/>
    <w:rsid w:val="00515920"/>
    <w:rsid w:val="00515AD8"/>
    <w:rsid w:val="00515DE0"/>
    <w:rsid w:val="00520345"/>
    <w:rsid w:val="00520BE3"/>
    <w:rsid w:val="00522A8B"/>
    <w:rsid w:val="0052442F"/>
    <w:rsid w:val="00524BB2"/>
    <w:rsid w:val="00527866"/>
    <w:rsid w:val="00530AC8"/>
    <w:rsid w:val="0053145E"/>
    <w:rsid w:val="0053190B"/>
    <w:rsid w:val="005338D3"/>
    <w:rsid w:val="00533DD2"/>
    <w:rsid w:val="00533E19"/>
    <w:rsid w:val="0053559E"/>
    <w:rsid w:val="0053566B"/>
    <w:rsid w:val="00540381"/>
    <w:rsid w:val="00542411"/>
    <w:rsid w:val="00543A0A"/>
    <w:rsid w:val="005444AB"/>
    <w:rsid w:val="00546B5F"/>
    <w:rsid w:val="005514F5"/>
    <w:rsid w:val="00552EB0"/>
    <w:rsid w:val="00554716"/>
    <w:rsid w:val="00555D3D"/>
    <w:rsid w:val="00561803"/>
    <w:rsid w:val="00562652"/>
    <w:rsid w:val="0056358F"/>
    <w:rsid w:val="005649C0"/>
    <w:rsid w:val="00565752"/>
    <w:rsid w:val="00566969"/>
    <w:rsid w:val="00566EBF"/>
    <w:rsid w:val="00571569"/>
    <w:rsid w:val="00575BCE"/>
    <w:rsid w:val="0057730A"/>
    <w:rsid w:val="00577623"/>
    <w:rsid w:val="0058155C"/>
    <w:rsid w:val="00582047"/>
    <w:rsid w:val="00583D6C"/>
    <w:rsid w:val="00584568"/>
    <w:rsid w:val="00584BC8"/>
    <w:rsid w:val="00586890"/>
    <w:rsid w:val="00591469"/>
    <w:rsid w:val="00595C2D"/>
    <w:rsid w:val="005966F6"/>
    <w:rsid w:val="0059789A"/>
    <w:rsid w:val="00597910"/>
    <w:rsid w:val="005A0620"/>
    <w:rsid w:val="005A133E"/>
    <w:rsid w:val="005A13C5"/>
    <w:rsid w:val="005A1D6C"/>
    <w:rsid w:val="005A2F37"/>
    <w:rsid w:val="005A2FF2"/>
    <w:rsid w:val="005A47ED"/>
    <w:rsid w:val="005A506E"/>
    <w:rsid w:val="005A5A3E"/>
    <w:rsid w:val="005A5D29"/>
    <w:rsid w:val="005A7989"/>
    <w:rsid w:val="005B02AB"/>
    <w:rsid w:val="005B0B17"/>
    <w:rsid w:val="005B17BE"/>
    <w:rsid w:val="005B18ED"/>
    <w:rsid w:val="005B31F7"/>
    <w:rsid w:val="005B3992"/>
    <w:rsid w:val="005B58FF"/>
    <w:rsid w:val="005B68C3"/>
    <w:rsid w:val="005B716F"/>
    <w:rsid w:val="005C204E"/>
    <w:rsid w:val="005C22D6"/>
    <w:rsid w:val="005C2F53"/>
    <w:rsid w:val="005C5778"/>
    <w:rsid w:val="005C5DD4"/>
    <w:rsid w:val="005D0029"/>
    <w:rsid w:val="005D05C7"/>
    <w:rsid w:val="005D33F6"/>
    <w:rsid w:val="005D3847"/>
    <w:rsid w:val="005D4320"/>
    <w:rsid w:val="005D4B0F"/>
    <w:rsid w:val="005D4F6E"/>
    <w:rsid w:val="005D66B3"/>
    <w:rsid w:val="005D6B6E"/>
    <w:rsid w:val="005E24DC"/>
    <w:rsid w:val="005E28B9"/>
    <w:rsid w:val="005E318B"/>
    <w:rsid w:val="005E34BD"/>
    <w:rsid w:val="005E494D"/>
    <w:rsid w:val="005E662E"/>
    <w:rsid w:val="005E6BD7"/>
    <w:rsid w:val="005E71B7"/>
    <w:rsid w:val="005F0EF5"/>
    <w:rsid w:val="005F27A0"/>
    <w:rsid w:val="005F2815"/>
    <w:rsid w:val="005F3CF4"/>
    <w:rsid w:val="005F6E40"/>
    <w:rsid w:val="00601913"/>
    <w:rsid w:val="0060421A"/>
    <w:rsid w:val="00605383"/>
    <w:rsid w:val="00611340"/>
    <w:rsid w:val="00611644"/>
    <w:rsid w:val="0061330D"/>
    <w:rsid w:val="00615AA1"/>
    <w:rsid w:val="00615FE9"/>
    <w:rsid w:val="006174FC"/>
    <w:rsid w:val="0062007D"/>
    <w:rsid w:val="006234A3"/>
    <w:rsid w:val="00623B34"/>
    <w:rsid w:val="00624E3D"/>
    <w:rsid w:val="006259CC"/>
    <w:rsid w:val="006308CD"/>
    <w:rsid w:val="006314DE"/>
    <w:rsid w:val="00633A86"/>
    <w:rsid w:val="00634816"/>
    <w:rsid w:val="00634CC1"/>
    <w:rsid w:val="00635197"/>
    <w:rsid w:val="0063636E"/>
    <w:rsid w:val="006363AA"/>
    <w:rsid w:val="0063758C"/>
    <w:rsid w:val="00637985"/>
    <w:rsid w:val="00642FB2"/>
    <w:rsid w:val="00643DFD"/>
    <w:rsid w:val="0064474A"/>
    <w:rsid w:val="006449AD"/>
    <w:rsid w:val="00644A56"/>
    <w:rsid w:val="00644DAA"/>
    <w:rsid w:val="00645209"/>
    <w:rsid w:val="00646267"/>
    <w:rsid w:val="006467F1"/>
    <w:rsid w:val="00646A8A"/>
    <w:rsid w:val="00647401"/>
    <w:rsid w:val="0064777F"/>
    <w:rsid w:val="00647931"/>
    <w:rsid w:val="00650169"/>
    <w:rsid w:val="00652918"/>
    <w:rsid w:val="00652E1B"/>
    <w:rsid w:val="00652E45"/>
    <w:rsid w:val="00653F32"/>
    <w:rsid w:val="006556FA"/>
    <w:rsid w:val="00656BD4"/>
    <w:rsid w:val="00657250"/>
    <w:rsid w:val="006600DC"/>
    <w:rsid w:val="00660605"/>
    <w:rsid w:val="006622B7"/>
    <w:rsid w:val="00662E0D"/>
    <w:rsid w:val="0066383C"/>
    <w:rsid w:val="0066428B"/>
    <w:rsid w:val="00664C4E"/>
    <w:rsid w:val="00665BFE"/>
    <w:rsid w:val="00670C79"/>
    <w:rsid w:val="00670DA7"/>
    <w:rsid w:val="00671536"/>
    <w:rsid w:val="0067280E"/>
    <w:rsid w:val="0067373F"/>
    <w:rsid w:val="006737CE"/>
    <w:rsid w:val="00673D14"/>
    <w:rsid w:val="00674168"/>
    <w:rsid w:val="00674D58"/>
    <w:rsid w:val="00674E7A"/>
    <w:rsid w:val="0067569B"/>
    <w:rsid w:val="00677B92"/>
    <w:rsid w:val="00680184"/>
    <w:rsid w:val="00680196"/>
    <w:rsid w:val="006801F0"/>
    <w:rsid w:val="006803EA"/>
    <w:rsid w:val="006813E4"/>
    <w:rsid w:val="00682E0F"/>
    <w:rsid w:val="00683D39"/>
    <w:rsid w:val="00687A8C"/>
    <w:rsid w:val="00693450"/>
    <w:rsid w:val="00695912"/>
    <w:rsid w:val="00696435"/>
    <w:rsid w:val="006964C3"/>
    <w:rsid w:val="00697C9C"/>
    <w:rsid w:val="006A53C9"/>
    <w:rsid w:val="006B0230"/>
    <w:rsid w:val="006B075E"/>
    <w:rsid w:val="006B0F3D"/>
    <w:rsid w:val="006B135C"/>
    <w:rsid w:val="006C1EBB"/>
    <w:rsid w:val="006C3986"/>
    <w:rsid w:val="006C4F78"/>
    <w:rsid w:val="006C63AE"/>
    <w:rsid w:val="006C63C2"/>
    <w:rsid w:val="006C711B"/>
    <w:rsid w:val="006D07D6"/>
    <w:rsid w:val="006D09F8"/>
    <w:rsid w:val="006D2138"/>
    <w:rsid w:val="006D37D0"/>
    <w:rsid w:val="006D46B5"/>
    <w:rsid w:val="006D52AD"/>
    <w:rsid w:val="006D726E"/>
    <w:rsid w:val="006E1DDD"/>
    <w:rsid w:val="006E20F2"/>
    <w:rsid w:val="006E48E4"/>
    <w:rsid w:val="006E4FBF"/>
    <w:rsid w:val="006E6287"/>
    <w:rsid w:val="006E718D"/>
    <w:rsid w:val="006E7C08"/>
    <w:rsid w:val="006F1F12"/>
    <w:rsid w:val="006F28C3"/>
    <w:rsid w:val="006F2A8A"/>
    <w:rsid w:val="006F2F9D"/>
    <w:rsid w:val="006F350D"/>
    <w:rsid w:val="006F4543"/>
    <w:rsid w:val="006F57C0"/>
    <w:rsid w:val="006F66B1"/>
    <w:rsid w:val="006F6D37"/>
    <w:rsid w:val="006F72EC"/>
    <w:rsid w:val="006F7D98"/>
    <w:rsid w:val="00702697"/>
    <w:rsid w:val="007050B8"/>
    <w:rsid w:val="00705F15"/>
    <w:rsid w:val="00707949"/>
    <w:rsid w:val="007118D7"/>
    <w:rsid w:val="00712405"/>
    <w:rsid w:val="00713515"/>
    <w:rsid w:val="00713E7D"/>
    <w:rsid w:val="00720217"/>
    <w:rsid w:val="00721E13"/>
    <w:rsid w:val="00723783"/>
    <w:rsid w:val="00723AC4"/>
    <w:rsid w:val="00723BA7"/>
    <w:rsid w:val="00723E83"/>
    <w:rsid w:val="0072479B"/>
    <w:rsid w:val="00724EF9"/>
    <w:rsid w:val="0072598F"/>
    <w:rsid w:val="00725A79"/>
    <w:rsid w:val="007263F0"/>
    <w:rsid w:val="00726D70"/>
    <w:rsid w:val="00727AF1"/>
    <w:rsid w:val="00727BB5"/>
    <w:rsid w:val="00727F76"/>
    <w:rsid w:val="00730AD6"/>
    <w:rsid w:val="007314E7"/>
    <w:rsid w:val="00735154"/>
    <w:rsid w:val="007359E9"/>
    <w:rsid w:val="00736318"/>
    <w:rsid w:val="00741712"/>
    <w:rsid w:val="00741AA7"/>
    <w:rsid w:val="00742BEF"/>
    <w:rsid w:val="0074315A"/>
    <w:rsid w:val="007478F2"/>
    <w:rsid w:val="00752B06"/>
    <w:rsid w:val="00757DD1"/>
    <w:rsid w:val="00757F29"/>
    <w:rsid w:val="007600AE"/>
    <w:rsid w:val="00760C9F"/>
    <w:rsid w:val="0076289B"/>
    <w:rsid w:val="00763CC1"/>
    <w:rsid w:val="007640CC"/>
    <w:rsid w:val="007642C7"/>
    <w:rsid w:val="00764804"/>
    <w:rsid w:val="007678A9"/>
    <w:rsid w:val="00770E01"/>
    <w:rsid w:val="00771068"/>
    <w:rsid w:val="00771F93"/>
    <w:rsid w:val="00774611"/>
    <w:rsid w:val="0077582F"/>
    <w:rsid w:val="00775875"/>
    <w:rsid w:val="00776F18"/>
    <w:rsid w:val="0078437B"/>
    <w:rsid w:val="00784848"/>
    <w:rsid w:val="00784A78"/>
    <w:rsid w:val="00784C56"/>
    <w:rsid w:val="00785492"/>
    <w:rsid w:val="00786699"/>
    <w:rsid w:val="00786D0B"/>
    <w:rsid w:val="007872E4"/>
    <w:rsid w:val="00787457"/>
    <w:rsid w:val="00787A65"/>
    <w:rsid w:val="007912A9"/>
    <w:rsid w:val="007928CE"/>
    <w:rsid w:val="00793B14"/>
    <w:rsid w:val="007949E0"/>
    <w:rsid w:val="00794CB0"/>
    <w:rsid w:val="00795327"/>
    <w:rsid w:val="00795ECB"/>
    <w:rsid w:val="00797A35"/>
    <w:rsid w:val="007A092D"/>
    <w:rsid w:val="007A20E4"/>
    <w:rsid w:val="007A28A7"/>
    <w:rsid w:val="007A294C"/>
    <w:rsid w:val="007A355E"/>
    <w:rsid w:val="007A4087"/>
    <w:rsid w:val="007A45A8"/>
    <w:rsid w:val="007A506B"/>
    <w:rsid w:val="007A5914"/>
    <w:rsid w:val="007A5DF7"/>
    <w:rsid w:val="007B37F8"/>
    <w:rsid w:val="007B5C1D"/>
    <w:rsid w:val="007B66A7"/>
    <w:rsid w:val="007C16BF"/>
    <w:rsid w:val="007C358C"/>
    <w:rsid w:val="007C3CB1"/>
    <w:rsid w:val="007D1532"/>
    <w:rsid w:val="007D26F6"/>
    <w:rsid w:val="007D383B"/>
    <w:rsid w:val="007D59C7"/>
    <w:rsid w:val="007D5B0F"/>
    <w:rsid w:val="007D6BE6"/>
    <w:rsid w:val="007E2B3E"/>
    <w:rsid w:val="007E2F46"/>
    <w:rsid w:val="007E315C"/>
    <w:rsid w:val="007E6D8E"/>
    <w:rsid w:val="007E7000"/>
    <w:rsid w:val="007F14F5"/>
    <w:rsid w:val="007F7226"/>
    <w:rsid w:val="0080159B"/>
    <w:rsid w:val="008041B9"/>
    <w:rsid w:val="008042E9"/>
    <w:rsid w:val="0080435E"/>
    <w:rsid w:val="00805594"/>
    <w:rsid w:val="00806A0E"/>
    <w:rsid w:val="00810336"/>
    <w:rsid w:val="00812F1A"/>
    <w:rsid w:val="008147DC"/>
    <w:rsid w:val="00816500"/>
    <w:rsid w:val="00820027"/>
    <w:rsid w:val="00820EC8"/>
    <w:rsid w:val="00821135"/>
    <w:rsid w:val="00821A2E"/>
    <w:rsid w:val="00821E21"/>
    <w:rsid w:val="00822951"/>
    <w:rsid w:val="00823B75"/>
    <w:rsid w:val="00823B92"/>
    <w:rsid w:val="00824F0E"/>
    <w:rsid w:val="008259E4"/>
    <w:rsid w:val="00826EED"/>
    <w:rsid w:val="00830CBA"/>
    <w:rsid w:val="00831008"/>
    <w:rsid w:val="008311B3"/>
    <w:rsid w:val="00833990"/>
    <w:rsid w:val="008339F9"/>
    <w:rsid w:val="00833D51"/>
    <w:rsid w:val="00833F5C"/>
    <w:rsid w:val="00834D8E"/>
    <w:rsid w:val="00837BAB"/>
    <w:rsid w:val="00842DDA"/>
    <w:rsid w:val="00843606"/>
    <w:rsid w:val="008438F3"/>
    <w:rsid w:val="00843E24"/>
    <w:rsid w:val="008441CD"/>
    <w:rsid w:val="0084634B"/>
    <w:rsid w:val="0084657A"/>
    <w:rsid w:val="00847EA6"/>
    <w:rsid w:val="00850946"/>
    <w:rsid w:val="008532C2"/>
    <w:rsid w:val="00857F6E"/>
    <w:rsid w:val="00861374"/>
    <w:rsid w:val="008619CE"/>
    <w:rsid w:val="00862B66"/>
    <w:rsid w:val="00864731"/>
    <w:rsid w:val="008705E3"/>
    <w:rsid w:val="00870635"/>
    <w:rsid w:val="0087248D"/>
    <w:rsid w:val="00873608"/>
    <w:rsid w:val="00873E3D"/>
    <w:rsid w:val="008752C0"/>
    <w:rsid w:val="00875BCB"/>
    <w:rsid w:val="00876521"/>
    <w:rsid w:val="00880D07"/>
    <w:rsid w:val="00881537"/>
    <w:rsid w:val="00883375"/>
    <w:rsid w:val="008838DB"/>
    <w:rsid w:val="00884D7B"/>
    <w:rsid w:val="0088623E"/>
    <w:rsid w:val="0089074E"/>
    <w:rsid w:val="008909E5"/>
    <w:rsid w:val="00890D08"/>
    <w:rsid w:val="00894A0A"/>
    <w:rsid w:val="00894B05"/>
    <w:rsid w:val="008955BC"/>
    <w:rsid w:val="008965DD"/>
    <w:rsid w:val="008975E9"/>
    <w:rsid w:val="008A1CD6"/>
    <w:rsid w:val="008A2683"/>
    <w:rsid w:val="008A2707"/>
    <w:rsid w:val="008A2CEF"/>
    <w:rsid w:val="008A3EC9"/>
    <w:rsid w:val="008A44AD"/>
    <w:rsid w:val="008A45B5"/>
    <w:rsid w:val="008A4B30"/>
    <w:rsid w:val="008A5644"/>
    <w:rsid w:val="008A6377"/>
    <w:rsid w:val="008B186A"/>
    <w:rsid w:val="008B2AA3"/>
    <w:rsid w:val="008B33C1"/>
    <w:rsid w:val="008B4F8B"/>
    <w:rsid w:val="008B707D"/>
    <w:rsid w:val="008B7A75"/>
    <w:rsid w:val="008C1811"/>
    <w:rsid w:val="008C2535"/>
    <w:rsid w:val="008C2751"/>
    <w:rsid w:val="008C3A8D"/>
    <w:rsid w:val="008C471E"/>
    <w:rsid w:val="008C6322"/>
    <w:rsid w:val="008C7047"/>
    <w:rsid w:val="008D050C"/>
    <w:rsid w:val="008D0751"/>
    <w:rsid w:val="008D3085"/>
    <w:rsid w:val="008D47E9"/>
    <w:rsid w:val="008D498E"/>
    <w:rsid w:val="008D4B12"/>
    <w:rsid w:val="008E14AF"/>
    <w:rsid w:val="008E1534"/>
    <w:rsid w:val="008E3D03"/>
    <w:rsid w:val="008E43D1"/>
    <w:rsid w:val="008E48D1"/>
    <w:rsid w:val="008E534F"/>
    <w:rsid w:val="008E56F8"/>
    <w:rsid w:val="008E5DAF"/>
    <w:rsid w:val="008E61EE"/>
    <w:rsid w:val="008E64CB"/>
    <w:rsid w:val="008F06E5"/>
    <w:rsid w:val="008F29CC"/>
    <w:rsid w:val="008F2D62"/>
    <w:rsid w:val="008F32CD"/>
    <w:rsid w:val="008F3303"/>
    <w:rsid w:val="008F35A0"/>
    <w:rsid w:val="008F41E3"/>
    <w:rsid w:val="008F4914"/>
    <w:rsid w:val="008F6907"/>
    <w:rsid w:val="008F7D4B"/>
    <w:rsid w:val="009009A6"/>
    <w:rsid w:val="00901A7B"/>
    <w:rsid w:val="0090277D"/>
    <w:rsid w:val="0090418B"/>
    <w:rsid w:val="00905E05"/>
    <w:rsid w:val="009064F7"/>
    <w:rsid w:val="009079AE"/>
    <w:rsid w:val="00907A27"/>
    <w:rsid w:val="00907A95"/>
    <w:rsid w:val="00907AEA"/>
    <w:rsid w:val="00910134"/>
    <w:rsid w:val="00910BEA"/>
    <w:rsid w:val="00911BC0"/>
    <w:rsid w:val="0091403A"/>
    <w:rsid w:val="00915DA8"/>
    <w:rsid w:val="00916869"/>
    <w:rsid w:val="00916B41"/>
    <w:rsid w:val="009176B0"/>
    <w:rsid w:val="0092117E"/>
    <w:rsid w:val="00922398"/>
    <w:rsid w:val="00923B3E"/>
    <w:rsid w:val="009240BF"/>
    <w:rsid w:val="0092665F"/>
    <w:rsid w:val="00926ABC"/>
    <w:rsid w:val="009276B0"/>
    <w:rsid w:val="00931AF0"/>
    <w:rsid w:val="009359F1"/>
    <w:rsid w:val="00935C77"/>
    <w:rsid w:val="00935D53"/>
    <w:rsid w:val="00936CC4"/>
    <w:rsid w:val="00937743"/>
    <w:rsid w:val="009377E2"/>
    <w:rsid w:val="009404CF"/>
    <w:rsid w:val="00944ABA"/>
    <w:rsid w:val="00947EA6"/>
    <w:rsid w:val="00953180"/>
    <w:rsid w:val="00954311"/>
    <w:rsid w:val="0095587D"/>
    <w:rsid w:val="00956192"/>
    <w:rsid w:val="009561EC"/>
    <w:rsid w:val="00965DE3"/>
    <w:rsid w:val="0096680B"/>
    <w:rsid w:val="0096697E"/>
    <w:rsid w:val="00966D02"/>
    <w:rsid w:val="009678EA"/>
    <w:rsid w:val="00972192"/>
    <w:rsid w:val="00973701"/>
    <w:rsid w:val="00973B5C"/>
    <w:rsid w:val="00973DEE"/>
    <w:rsid w:val="00975D7D"/>
    <w:rsid w:val="00976515"/>
    <w:rsid w:val="00980148"/>
    <w:rsid w:val="00980800"/>
    <w:rsid w:val="009817E8"/>
    <w:rsid w:val="00981C86"/>
    <w:rsid w:val="00982B95"/>
    <w:rsid w:val="009833F1"/>
    <w:rsid w:val="00983417"/>
    <w:rsid w:val="00983CAC"/>
    <w:rsid w:val="00985AB5"/>
    <w:rsid w:val="00987A22"/>
    <w:rsid w:val="00990092"/>
    <w:rsid w:val="00990429"/>
    <w:rsid w:val="0099350E"/>
    <w:rsid w:val="00996E8E"/>
    <w:rsid w:val="009A06A1"/>
    <w:rsid w:val="009A665B"/>
    <w:rsid w:val="009A6CC6"/>
    <w:rsid w:val="009A76F9"/>
    <w:rsid w:val="009B1676"/>
    <w:rsid w:val="009B23EA"/>
    <w:rsid w:val="009B3290"/>
    <w:rsid w:val="009B381E"/>
    <w:rsid w:val="009B71DC"/>
    <w:rsid w:val="009C238D"/>
    <w:rsid w:val="009C25D9"/>
    <w:rsid w:val="009C2752"/>
    <w:rsid w:val="009C2B24"/>
    <w:rsid w:val="009C2D1E"/>
    <w:rsid w:val="009C44A4"/>
    <w:rsid w:val="009C5EAE"/>
    <w:rsid w:val="009C6624"/>
    <w:rsid w:val="009C7327"/>
    <w:rsid w:val="009D1BA6"/>
    <w:rsid w:val="009D4DAF"/>
    <w:rsid w:val="009D4F3B"/>
    <w:rsid w:val="009D5452"/>
    <w:rsid w:val="009D5A94"/>
    <w:rsid w:val="009D6969"/>
    <w:rsid w:val="009E1366"/>
    <w:rsid w:val="009E29C9"/>
    <w:rsid w:val="009E4949"/>
    <w:rsid w:val="009E5884"/>
    <w:rsid w:val="009E58ED"/>
    <w:rsid w:val="009E6374"/>
    <w:rsid w:val="009E63F1"/>
    <w:rsid w:val="009E6591"/>
    <w:rsid w:val="009F06B0"/>
    <w:rsid w:val="009F22AF"/>
    <w:rsid w:val="009F327C"/>
    <w:rsid w:val="009F366F"/>
    <w:rsid w:val="009F4CAE"/>
    <w:rsid w:val="009F54C3"/>
    <w:rsid w:val="009F799C"/>
    <w:rsid w:val="00A00346"/>
    <w:rsid w:val="00A021E1"/>
    <w:rsid w:val="00A02255"/>
    <w:rsid w:val="00A0637C"/>
    <w:rsid w:val="00A07A20"/>
    <w:rsid w:val="00A112E7"/>
    <w:rsid w:val="00A17529"/>
    <w:rsid w:val="00A17682"/>
    <w:rsid w:val="00A20532"/>
    <w:rsid w:val="00A20814"/>
    <w:rsid w:val="00A20D72"/>
    <w:rsid w:val="00A225D0"/>
    <w:rsid w:val="00A24686"/>
    <w:rsid w:val="00A25593"/>
    <w:rsid w:val="00A27068"/>
    <w:rsid w:val="00A2708A"/>
    <w:rsid w:val="00A33926"/>
    <w:rsid w:val="00A34796"/>
    <w:rsid w:val="00A35590"/>
    <w:rsid w:val="00A401BA"/>
    <w:rsid w:val="00A4290C"/>
    <w:rsid w:val="00A42D45"/>
    <w:rsid w:val="00A44D23"/>
    <w:rsid w:val="00A46006"/>
    <w:rsid w:val="00A503B1"/>
    <w:rsid w:val="00A52229"/>
    <w:rsid w:val="00A54F6C"/>
    <w:rsid w:val="00A56581"/>
    <w:rsid w:val="00A56AF1"/>
    <w:rsid w:val="00A57D81"/>
    <w:rsid w:val="00A60FAE"/>
    <w:rsid w:val="00A61B9E"/>
    <w:rsid w:val="00A63839"/>
    <w:rsid w:val="00A6445C"/>
    <w:rsid w:val="00A65C75"/>
    <w:rsid w:val="00A6751F"/>
    <w:rsid w:val="00A70147"/>
    <w:rsid w:val="00A73ACA"/>
    <w:rsid w:val="00A749BF"/>
    <w:rsid w:val="00A74CC6"/>
    <w:rsid w:val="00A75729"/>
    <w:rsid w:val="00A76B01"/>
    <w:rsid w:val="00A76DC3"/>
    <w:rsid w:val="00A77929"/>
    <w:rsid w:val="00A80E81"/>
    <w:rsid w:val="00A822B2"/>
    <w:rsid w:val="00A82648"/>
    <w:rsid w:val="00A82B71"/>
    <w:rsid w:val="00A83729"/>
    <w:rsid w:val="00A85D7B"/>
    <w:rsid w:val="00A87739"/>
    <w:rsid w:val="00A90503"/>
    <w:rsid w:val="00A93216"/>
    <w:rsid w:val="00A93F34"/>
    <w:rsid w:val="00A94B13"/>
    <w:rsid w:val="00A96C0B"/>
    <w:rsid w:val="00A96D1B"/>
    <w:rsid w:val="00A97519"/>
    <w:rsid w:val="00A979ED"/>
    <w:rsid w:val="00AA0BC7"/>
    <w:rsid w:val="00AA203D"/>
    <w:rsid w:val="00AA279E"/>
    <w:rsid w:val="00AA2D93"/>
    <w:rsid w:val="00AA537E"/>
    <w:rsid w:val="00AA59A0"/>
    <w:rsid w:val="00AA6FD4"/>
    <w:rsid w:val="00AB0812"/>
    <w:rsid w:val="00AB2920"/>
    <w:rsid w:val="00AB385C"/>
    <w:rsid w:val="00AC0A94"/>
    <w:rsid w:val="00AC1A4B"/>
    <w:rsid w:val="00AC3642"/>
    <w:rsid w:val="00AD0126"/>
    <w:rsid w:val="00AD01C2"/>
    <w:rsid w:val="00AD0FCB"/>
    <w:rsid w:val="00AD159C"/>
    <w:rsid w:val="00AD1B60"/>
    <w:rsid w:val="00AD320D"/>
    <w:rsid w:val="00AD4DD2"/>
    <w:rsid w:val="00AD5A73"/>
    <w:rsid w:val="00AE1333"/>
    <w:rsid w:val="00AE5E39"/>
    <w:rsid w:val="00AE6FA7"/>
    <w:rsid w:val="00AE7035"/>
    <w:rsid w:val="00AE7757"/>
    <w:rsid w:val="00AF060E"/>
    <w:rsid w:val="00AF2D42"/>
    <w:rsid w:val="00AF569A"/>
    <w:rsid w:val="00AF572D"/>
    <w:rsid w:val="00AF5EEF"/>
    <w:rsid w:val="00AF79CB"/>
    <w:rsid w:val="00AF7F1E"/>
    <w:rsid w:val="00B012CD"/>
    <w:rsid w:val="00B01639"/>
    <w:rsid w:val="00B03B71"/>
    <w:rsid w:val="00B07D81"/>
    <w:rsid w:val="00B15401"/>
    <w:rsid w:val="00B15C71"/>
    <w:rsid w:val="00B166B5"/>
    <w:rsid w:val="00B174D2"/>
    <w:rsid w:val="00B216CF"/>
    <w:rsid w:val="00B21946"/>
    <w:rsid w:val="00B246B4"/>
    <w:rsid w:val="00B262C8"/>
    <w:rsid w:val="00B26DB6"/>
    <w:rsid w:val="00B3015E"/>
    <w:rsid w:val="00B30D09"/>
    <w:rsid w:val="00B325FD"/>
    <w:rsid w:val="00B34382"/>
    <w:rsid w:val="00B34C51"/>
    <w:rsid w:val="00B3525C"/>
    <w:rsid w:val="00B36020"/>
    <w:rsid w:val="00B3735E"/>
    <w:rsid w:val="00B41404"/>
    <w:rsid w:val="00B41EA1"/>
    <w:rsid w:val="00B42A83"/>
    <w:rsid w:val="00B452A3"/>
    <w:rsid w:val="00B4537B"/>
    <w:rsid w:val="00B505F9"/>
    <w:rsid w:val="00B50AFE"/>
    <w:rsid w:val="00B50E2D"/>
    <w:rsid w:val="00B510BF"/>
    <w:rsid w:val="00B523ED"/>
    <w:rsid w:val="00B5244A"/>
    <w:rsid w:val="00B52C73"/>
    <w:rsid w:val="00B531AB"/>
    <w:rsid w:val="00B53C34"/>
    <w:rsid w:val="00B651E4"/>
    <w:rsid w:val="00B65791"/>
    <w:rsid w:val="00B66A36"/>
    <w:rsid w:val="00B72438"/>
    <w:rsid w:val="00B72BAB"/>
    <w:rsid w:val="00B74559"/>
    <w:rsid w:val="00B76557"/>
    <w:rsid w:val="00B85489"/>
    <w:rsid w:val="00B87179"/>
    <w:rsid w:val="00B9048A"/>
    <w:rsid w:val="00B906E1"/>
    <w:rsid w:val="00B93B50"/>
    <w:rsid w:val="00B94EC7"/>
    <w:rsid w:val="00B951FF"/>
    <w:rsid w:val="00BA000A"/>
    <w:rsid w:val="00BA07F0"/>
    <w:rsid w:val="00BA0F40"/>
    <w:rsid w:val="00BA118B"/>
    <w:rsid w:val="00BA328B"/>
    <w:rsid w:val="00BA3D5F"/>
    <w:rsid w:val="00BA47F0"/>
    <w:rsid w:val="00BA4E0F"/>
    <w:rsid w:val="00BA7FD0"/>
    <w:rsid w:val="00BB0782"/>
    <w:rsid w:val="00BB0DE5"/>
    <w:rsid w:val="00BB1C7E"/>
    <w:rsid w:val="00BB2E04"/>
    <w:rsid w:val="00BB3000"/>
    <w:rsid w:val="00BB34E3"/>
    <w:rsid w:val="00BB5721"/>
    <w:rsid w:val="00BB69DB"/>
    <w:rsid w:val="00BB6F82"/>
    <w:rsid w:val="00BC2BA2"/>
    <w:rsid w:val="00BC2ED4"/>
    <w:rsid w:val="00BC36B3"/>
    <w:rsid w:val="00BC6BCA"/>
    <w:rsid w:val="00BD0693"/>
    <w:rsid w:val="00BD08E5"/>
    <w:rsid w:val="00BD0CA8"/>
    <w:rsid w:val="00BD0CCE"/>
    <w:rsid w:val="00BD0F2D"/>
    <w:rsid w:val="00BD1014"/>
    <w:rsid w:val="00BD396E"/>
    <w:rsid w:val="00BD4914"/>
    <w:rsid w:val="00BD55B7"/>
    <w:rsid w:val="00BD659A"/>
    <w:rsid w:val="00BD7AF5"/>
    <w:rsid w:val="00BD7F12"/>
    <w:rsid w:val="00BE0572"/>
    <w:rsid w:val="00BE0F0E"/>
    <w:rsid w:val="00BE20C3"/>
    <w:rsid w:val="00BE2331"/>
    <w:rsid w:val="00BE470D"/>
    <w:rsid w:val="00BE4A53"/>
    <w:rsid w:val="00BE7875"/>
    <w:rsid w:val="00BF0642"/>
    <w:rsid w:val="00BF1223"/>
    <w:rsid w:val="00BF21B1"/>
    <w:rsid w:val="00BF29AC"/>
    <w:rsid w:val="00BF4912"/>
    <w:rsid w:val="00BF4B8F"/>
    <w:rsid w:val="00BF4F2E"/>
    <w:rsid w:val="00BF638B"/>
    <w:rsid w:val="00C000FD"/>
    <w:rsid w:val="00C005BC"/>
    <w:rsid w:val="00C01DF1"/>
    <w:rsid w:val="00C04D83"/>
    <w:rsid w:val="00C105B9"/>
    <w:rsid w:val="00C1070D"/>
    <w:rsid w:val="00C10B3B"/>
    <w:rsid w:val="00C11ECE"/>
    <w:rsid w:val="00C129DE"/>
    <w:rsid w:val="00C1395A"/>
    <w:rsid w:val="00C150BB"/>
    <w:rsid w:val="00C16B79"/>
    <w:rsid w:val="00C2099E"/>
    <w:rsid w:val="00C224C0"/>
    <w:rsid w:val="00C22816"/>
    <w:rsid w:val="00C23CF0"/>
    <w:rsid w:val="00C249F4"/>
    <w:rsid w:val="00C25506"/>
    <w:rsid w:val="00C31272"/>
    <w:rsid w:val="00C31BB5"/>
    <w:rsid w:val="00C34562"/>
    <w:rsid w:val="00C369F9"/>
    <w:rsid w:val="00C47AA5"/>
    <w:rsid w:val="00C51826"/>
    <w:rsid w:val="00C525CD"/>
    <w:rsid w:val="00C52A04"/>
    <w:rsid w:val="00C52F58"/>
    <w:rsid w:val="00C5468F"/>
    <w:rsid w:val="00C551BE"/>
    <w:rsid w:val="00C55F9D"/>
    <w:rsid w:val="00C579D5"/>
    <w:rsid w:val="00C57FF1"/>
    <w:rsid w:val="00C60145"/>
    <w:rsid w:val="00C60836"/>
    <w:rsid w:val="00C60B49"/>
    <w:rsid w:val="00C61564"/>
    <w:rsid w:val="00C6168E"/>
    <w:rsid w:val="00C62223"/>
    <w:rsid w:val="00C63544"/>
    <w:rsid w:val="00C709CD"/>
    <w:rsid w:val="00C715BD"/>
    <w:rsid w:val="00C7228F"/>
    <w:rsid w:val="00C76128"/>
    <w:rsid w:val="00C82776"/>
    <w:rsid w:val="00C8303E"/>
    <w:rsid w:val="00C83C7F"/>
    <w:rsid w:val="00C84EC9"/>
    <w:rsid w:val="00C85731"/>
    <w:rsid w:val="00C8685C"/>
    <w:rsid w:val="00C87826"/>
    <w:rsid w:val="00C900B9"/>
    <w:rsid w:val="00C9066A"/>
    <w:rsid w:val="00C90AE0"/>
    <w:rsid w:val="00C926AE"/>
    <w:rsid w:val="00C9400D"/>
    <w:rsid w:val="00C9595A"/>
    <w:rsid w:val="00CA0FE5"/>
    <w:rsid w:val="00CA1B3B"/>
    <w:rsid w:val="00CA2AC6"/>
    <w:rsid w:val="00CA560E"/>
    <w:rsid w:val="00CA5CC9"/>
    <w:rsid w:val="00CA723F"/>
    <w:rsid w:val="00CB09CE"/>
    <w:rsid w:val="00CB1B1A"/>
    <w:rsid w:val="00CB2A6E"/>
    <w:rsid w:val="00CB6C17"/>
    <w:rsid w:val="00CB7304"/>
    <w:rsid w:val="00CB78C4"/>
    <w:rsid w:val="00CC0897"/>
    <w:rsid w:val="00CC1CB4"/>
    <w:rsid w:val="00CC3478"/>
    <w:rsid w:val="00CC4BAD"/>
    <w:rsid w:val="00CC7D0A"/>
    <w:rsid w:val="00CD02AB"/>
    <w:rsid w:val="00CD13F8"/>
    <w:rsid w:val="00CD28D5"/>
    <w:rsid w:val="00CD2EA0"/>
    <w:rsid w:val="00CD330F"/>
    <w:rsid w:val="00CD4123"/>
    <w:rsid w:val="00CD6319"/>
    <w:rsid w:val="00CD6788"/>
    <w:rsid w:val="00CD681E"/>
    <w:rsid w:val="00CE11F6"/>
    <w:rsid w:val="00CE2716"/>
    <w:rsid w:val="00CE2D3D"/>
    <w:rsid w:val="00CE2DFA"/>
    <w:rsid w:val="00CE2F2A"/>
    <w:rsid w:val="00CE461E"/>
    <w:rsid w:val="00CE699E"/>
    <w:rsid w:val="00CE7B3A"/>
    <w:rsid w:val="00CF00D7"/>
    <w:rsid w:val="00CF01F6"/>
    <w:rsid w:val="00CF10D8"/>
    <w:rsid w:val="00CF2C6A"/>
    <w:rsid w:val="00CF5CDF"/>
    <w:rsid w:val="00CF6DC4"/>
    <w:rsid w:val="00CF76B3"/>
    <w:rsid w:val="00CF77BF"/>
    <w:rsid w:val="00CF7D07"/>
    <w:rsid w:val="00D00BE7"/>
    <w:rsid w:val="00D00E94"/>
    <w:rsid w:val="00D03109"/>
    <w:rsid w:val="00D03A53"/>
    <w:rsid w:val="00D04219"/>
    <w:rsid w:val="00D042B9"/>
    <w:rsid w:val="00D05103"/>
    <w:rsid w:val="00D075C8"/>
    <w:rsid w:val="00D100AF"/>
    <w:rsid w:val="00D100F6"/>
    <w:rsid w:val="00D11A4B"/>
    <w:rsid w:val="00D14823"/>
    <w:rsid w:val="00D17BFC"/>
    <w:rsid w:val="00D21F05"/>
    <w:rsid w:val="00D24521"/>
    <w:rsid w:val="00D250E4"/>
    <w:rsid w:val="00D270E9"/>
    <w:rsid w:val="00D27C6F"/>
    <w:rsid w:val="00D30B66"/>
    <w:rsid w:val="00D31842"/>
    <w:rsid w:val="00D31C14"/>
    <w:rsid w:val="00D35098"/>
    <w:rsid w:val="00D36F00"/>
    <w:rsid w:val="00D40A25"/>
    <w:rsid w:val="00D412F5"/>
    <w:rsid w:val="00D42F42"/>
    <w:rsid w:val="00D43767"/>
    <w:rsid w:val="00D4461C"/>
    <w:rsid w:val="00D478F6"/>
    <w:rsid w:val="00D501A1"/>
    <w:rsid w:val="00D52251"/>
    <w:rsid w:val="00D54B89"/>
    <w:rsid w:val="00D56117"/>
    <w:rsid w:val="00D60512"/>
    <w:rsid w:val="00D60B36"/>
    <w:rsid w:val="00D61D54"/>
    <w:rsid w:val="00D63CCB"/>
    <w:rsid w:val="00D65446"/>
    <w:rsid w:val="00D65E59"/>
    <w:rsid w:val="00D67480"/>
    <w:rsid w:val="00D7055A"/>
    <w:rsid w:val="00D70A75"/>
    <w:rsid w:val="00D72A31"/>
    <w:rsid w:val="00D73D1F"/>
    <w:rsid w:val="00D7465B"/>
    <w:rsid w:val="00D8098E"/>
    <w:rsid w:val="00D8203D"/>
    <w:rsid w:val="00D83B73"/>
    <w:rsid w:val="00D85741"/>
    <w:rsid w:val="00D903E2"/>
    <w:rsid w:val="00D9055C"/>
    <w:rsid w:val="00D90A45"/>
    <w:rsid w:val="00D90C50"/>
    <w:rsid w:val="00D91822"/>
    <w:rsid w:val="00D91A82"/>
    <w:rsid w:val="00D92F9F"/>
    <w:rsid w:val="00D93260"/>
    <w:rsid w:val="00D934F0"/>
    <w:rsid w:val="00D94754"/>
    <w:rsid w:val="00D94C5D"/>
    <w:rsid w:val="00D95E2C"/>
    <w:rsid w:val="00D977EB"/>
    <w:rsid w:val="00DA05D5"/>
    <w:rsid w:val="00DA3DF4"/>
    <w:rsid w:val="00DA48DA"/>
    <w:rsid w:val="00DA6976"/>
    <w:rsid w:val="00DA7ECA"/>
    <w:rsid w:val="00DB0169"/>
    <w:rsid w:val="00DB02E7"/>
    <w:rsid w:val="00DB0AC3"/>
    <w:rsid w:val="00DB19FF"/>
    <w:rsid w:val="00DB1F3F"/>
    <w:rsid w:val="00DB2168"/>
    <w:rsid w:val="00DB2200"/>
    <w:rsid w:val="00DB31BA"/>
    <w:rsid w:val="00DB3F42"/>
    <w:rsid w:val="00DB41EA"/>
    <w:rsid w:val="00DB456B"/>
    <w:rsid w:val="00DB67FA"/>
    <w:rsid w:val="00DB6D2A"/>
    <w:rsid w:val="00DB6E4E"/>
    <w:rsid w:val="00DB715E"/>
    <w:rsid w:val="00DB71DB"/>
    <w:rsid w:val="00DC2152"/>
    <w:rsid w:val="00DC31C5"/>
    <w:rsid w:val="00DC6060"/>
    <w:rsid w:val="00DC611C"/>
    <w:rsid w:val="00DC663A"/>
    <w:rsid w:val="00DC73BF"/>
    <w:rsid w:val="00DC7E22"/>
    <w:rsid w:val="00DD0632"/>
    <w:rsid w:val="00DD2A09"/>
    <w:rsid w:val="00DD31EE"/>
    <w:rsid w:val="00DD3713"/>
    <w:rsid w:val="00DD3B2B"/>
    <w:rsid w:val="00DD3CB9"/>
    <w:rsid w:val="00DD55D5"/>
    <w:rsid w:val="00DD590B"/>
    <w:rsid w:val="00DD6D36"/>
    <w:rsid w:val="00DE12BA"/>
    <w:rsid w:val="00DE7345"/>
    <w:rsid w:val="00DF043F"/>
    <w:rsid w:val="00DF253B"/>
    <w:rsid w:val="00DF278B"/>
    <w:rsid w:val="00DF3D29"/>
    <w:rsid w:val="00DF6EFD"/>
    <w:rsid w:val="00DF742C"/>
    <w:rsid w:val="00DF7938"/>
    <w:rsid w:val="00E000E2"/>
    <w:rsid w:val="00E004DB"/>
    <w:rsid w:val="00E005C1"/>
    <w:rsid w:val="00E01B3E"/>
    <w:rsid w:val="00E01C97"/>
    <w:rsid w:val="00E020B4"/>
    <w:rsid w:val="00E028C6"/>
    <w:rsid w:val="00E07299"/>
    <w:rsid w:val="00E07997"/>
    <w:rsid w:val="00E10987"/>
    <w:rsid w:val="00E10E9F"/>
    <w:rsid w:val="00E12162"/>
    <w:rsid w:val="00E1237D"/>
    <w:rsid w:val="00E1246C"/>
    <w:rsid w:val="00E15335"/>
    <w:rsid w:val="00E15FE2"/>
    <w:rsid w:val="00E17A0A"/>
    <w:rsid w:val="00E20973"/>
    <w:rsid w:val="00E20EAD"/>
    <w:rsid w:val="00E2114F"/>
    <w:rsid w:val="00E223D4"/>
    <w:rsid w:val="00E231B5"/>
    <w:rsid w:val="00E26138"/>
    <w:rsid w:val="00E27D5F"/>
    <w:rsid w:val="00E32F77"/>
    <w:rsid w:val="00E33F31"/>
    <w:rsid w:val="00E37B03"/>
    <w:rsid w:val="00E41838"/>
    <w:rsid w:val="00E42101"/>
    <w:rsid w:val="00E429CC"/>
    <w:rsid w:val="00E44A2E"/>
    <w:rsid w:val="00E456B9"/>
    <w:rsid w:val="00E51892"/>
    <w:rsid w:val="00E51C99"/>
    <w:rsid w:val="00E5267F"/>
    <w:rsid w:val="00E52E82"/>
    <w:rsid w:val="00E541DB"/>
    <w:rsid w:val="00E54F18"/>
    <w:rsid w:val="00E60E89"/>
    <w:rsid w:val="00E61936"/>
    <w:rsid w:val="00E62BA0"/>
    <w:rsid w:val="00E64002"/>
    <w:rsid w:val="00E65069"/>
    <w:rsid w:val="00E6615D"/>
    <w:rsid w:val="00E661DA"/>
    <w:rsid w:val="00E6658F"/>
    <w:rsid w:val="00E666A2"/>
    <w:rsid w:val="00E676F8"/>
    <w:rsid w:val="00E6795C"/>
    <w:rsid w:val="00E67B1D"/>
    <w:rsid w:val="00E70CBD"/>
    <w:rsid w:val="00E70FF3"/>
    <w:rsid w:val="00E723B5"/>
    <w:rsid w:val="00E72D9D"/>
    <w:rsid w:val="00E73A92"/>
    <w:rsid w:val="00E760AA"/>
    <w:rsid w:val="00E775D3"/>
    <w:rsid w:val="00E806D4"/>
    <w:rsid w:val="00E827E8"/>
    <w:rsid w:val="00E832F5"/>
    <w:rsid w:val="00E85FC6"/>
    <w:rsid w:val="00E86D1B"/>
    <w:rsid w:val="00E87DB5"/>
    <w:rsid w:val="00E93536"/>
    <w:rsid w:val="00E93A97"/>
    <w:rsid w:val="00E963FB"/>
    <w:rsid w:val="00E975A8"/>
    <w:rsid w:val="00EA0275"/>
    <w:rsid w:val="00EA29A3"/>
    <w:rsid w:val="00EA543D"/>
    <w:rsid w:val="00EA5B3E"/>
    <w:rsid w:val="00EA71B1"/>
    <w:rsid w:val="00EB025B"/>
    <w:rsid w:val="00EB198B"/>
    <w:rsid w:val="00EB2240"/>
    <w:rsid w:val="00EB38EF"/>
    <w:rsid w:val="00EB44C1"/>
    <w:rsid w:val="00EC15BB"/>
    <w:rsid w:val="00EC161A"/>
    <w:rsid w:val="00EC4E93"/>
    <w:rsid w:val="00EC6E0D"/>
    <w:rsid w:val="00ED006E"/>
    <w:rsid w:val="00ED0802"/>
    <w:rsid w:val="00ED4506"/>
    <w:rsid w:val="00ED5D29"/>
    <w:rsid w:val="00ED6EE3"/>
    <w:rsid w:val="00ED6F01"/>
    <w:rsid w:val="00EE1AD0"/>
    <w:rsid w:val="00EE1F28"/>
    <w:rsid w:val="00EE46DE"/>
    <w:rsid w:val="00EE6E26"/>
    <w:rsid w:val="00EE7541"/>
    <w:rsid w:val="00EE79AE"/>
    <w:rsid w:val="00EF048B"/>
    <w:rsid w:val="00EF067B"/>
    <w:rsid w:val="00EF0CD0"/>
    <w:rsid w:val="00EF284D"/>
    <w:rsid w:val="00EF2A2C"/>
    <w:rsid w:val="00EF30E5"/>
    <w:rsid w:val="00EF4272"/>
    <w:rsid w:val="00EF5746"/>
    <w:rsid w:val="00EF587D"/>
    <w:rsid w:val="00EF7A51"/>
    <w:rsid w:val="00EF7E66"/>
    <w:rsid w:val="00EF7EF4"/>
    <w:rsid w:val="00F0098C"/>
    <w:rsid w:val="00F03628"/>
    <w:rsid w:val="00F06D25"/>
    <w:rsid w:val="00F11E9E"/>
    <w:rsid w:val="00F1504E"/>
    <w:rsid w:val="00F1512E"/>
    <w:rsid w:val="00F206EA"/>
    <w:rsid w:val="00F232DE"/>
    <w:rsid w:val="00F24977"/>
    <w:rsid w:val="00F24B2C"/>
    <w:rsid w:val="00F26279"/>
    <w:rsid w:val="00F2705F"/>
    <w:rsid w:val="00F27C6C"/>
    <w:rsid w:val="00F33BDF"/>
    <w:rsid w:val="00F3755A"/>
    <w:rsid w:val="00F37A62"/>
    <w:rsid w:val="00F4129B"/>
    <w:rsid w:val="00F43AF9"/>
    <w:rsid w:val="00F43F47"/>
    <w:rsid w:val="00F45473"/>
    <w:rsid w:val="00F45A78"/>
    <w:rsid w:val="00F468B8"/>
    <w:rsid w:val="00F470C3"/>
    <w:rsid w:val="00F51A9F"/>
    <w:rsid w:val="00F52D4D"/>
    <w:rsid w:val="00F52E60"/>
    <w:rsid w:val="00F537FA"/>
    <w:rsid w:val="00F5596D"/>
    <w:rsid w:val="00F60EDB"/>
    <w:rsid w:val="00F618F1"/>
    <w:rsid w:val="00F62A1B"/>
    <w:rsid w:val="00F650D3"/>
    <w:rsid w:val="00F6643C"/>
    <w:rsid w:val="00F7024F"/>
    <w:rsid w:val="00F72189"/>
    <w:rsid w:val="00F73219"/>
    <w:rsid w:val="00F73667"/>
    <w:rsid w:val="00F73D39"/>
    <w:rsid w:val="00F7454F"/>
    <w:rsid w:val="00F7637B"/>
    <w:rsid w:val="00F76BCF"/>
    <w:rsid w:val="00F77CF6"/>
    <w:rsid w:val="00F8335E"/>
    <w:rsid w:val="00F85A16"/>
    <w:rsid w:val="00F86559"/>
    <w:rsid w:val="00F87C10"/>
    <w:rsid w:val="00F91E8F"/>
    <w:rsid w:val="00F92280"/>
    <w:rsid w:val="00F941F9"/>
    <w:rsid w:val="00F943CE"/>
    <w:rsid w:val="00F9478D"/>
    <w:rsid w:val="00F9587D"/>
    <w:rsid w:val="00FA0414"/>
    <w:rsid w:val="00FA062B"/>
    <w:rsid w:val="00FA0D5C"/>
    <w:rsid w:val="00FA1077"/>
    <w:rsid w:val="00FA21AA"/>
    <w:rsid w:val="00FA47DC"/>
    <w:rsid w:val="00FA6179"/>
    <w:rsid w:val="00FA66DE"/>
    <w:rsid w:val="00FA6C94"/>
    <w:rsid w:val="00FA7CB6"/>
    <w:rsid w:val="00FB0581"/>
    <w:rsid w:val="00FB071A"/>
    <w:rsid w:val="00FB1A16"/>
    <w:rsid w:val="00FB1A1C"/>
    <w:rsid w:val="00FB2692"/>
    <w:rsid w:val="00FB45DC"/>
    <w:rsid w:val="00FB5FAE"/>
    <w:rsid w:val="00FB676B"/>
    <w:rsid w:val="00FB743A"/>
    <w:rsid w:val="00FB75B2"/>
    <w:rsid w:val="00FB7FC4"/>
    <w:rsid w:val="00FC0303"/>
    <w:rsid w:val="00FC0E8D"/>
    <w:rsid w:val="00FC1267"/>
    <w:rsid w:val="00FC28C3"/>
    <w:rsid w:val="00FC430A"/>
    <w:rsid w:val="00FC5120"/>
    <w:rsid w:val="00FC5961"/>
    <w:rsid w:val="00FC5F3D"/>
    <w:rsid w:val="00FD0D95"/>
    <w:rsid w:val="00FD3526"/>
    <w:rsid w:val="00FD5713"/>
    <w:rsid w:val="00FD6CF0"/>
    <w:rsid w:val="00FD7CF9"/>
    <w:rsid w:val="00FE0185"/>
    <w:rsid w:val="00FE0DFF"/>
    <w:rsid w:val="00FE39A9"/>
    <w:rsid w:val="00FE4B86"/>
    <w:rsid w:val="00FE6A77"/>
    <w:rsid w:val="00FF004C"/>
    <w:rsid w:val="00FF1D41"/>
    <w:rsid w:val="00FF2CC0"/>
    <w:rsid w:val="00FF2F4B"/>
    <w:rsid w:val="00FF4EC4"/>
    <w:rsid w:val="00FF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E015DC-AA2F-4BB8-8C5B-D0ED2D4A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79"/>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70C79"/>
    <w:pPr>
      <w:keepNext/>
      <w:spacing w:line="360" w:lineRule="auto"/>
      <w:outlineLvl w:val="0"/>
    </w:pPr>
    <w:rPr>
      <w:sz w:val="28"/>
    </w:rPr>
  </w:style>
  <w:style w:type="paragraph" w:styleId="Heading2">
    <w:name w:val="heading 2"/>
    <w:basedOn w:val="Normal"/>
    <w:next w:val="Normal"/>
    <w:link w:val="Heading2Char"/>
    <w:qFormat/>
    <w:rsid w:val="00670C79"/>
    <w:pPr>
      <w:keepNext/>
      <w:jc w:val="both"/>
      <w:outlineLvl w:val="1"/>
    </w:pPr>
    <w:rPr>
      <w:sz w:val="28"/>
    </w:rPr>
  </w:style>
  <w:style w:type="paragraph" w:styleId="Heading3">
    <w:name w:val="heading 3"/>
    <w:basedOn w:val="Normal"/>
    <w:next w:val="Normal"/>
    <w:link w:val="Heading3Char"/>
    <w:uiPriority w:val="9"/>
    <w:unhideWhenUsed/>
    <w:qFormat/>
    <w:rsid w:val="00C01DF1"/>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qFormat/>
    <w:rsid w:val="00670C79"/>
    <w:pPr>
      <w:keepNext/>
      <w:spacing w:before="120" w:after="120" w:line="360" w:lineRule="auto"/>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C79"/>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rsid w:val="00670C79"/>
    <w:rPr>
      <w:rFonts w:ascii="Times New Roman" w:eastAsia="Times New Roman" w:hAnsi="Times New Roman" w:cs="Times New Roman"/>
      <w:sz w:val="28"/>
      <w:szCs w:val="24"/>
      <w:lang w:val="ro-RO"/>
    </w:rPr>
  </w:style>
  <w:style w:type="character" w:customStyle="1" w:styleId="Heading6Char">
    <w:name w:val="Heading 6 Char"/>
    <w:basedOn w:val="DefaultParagraphFont"/>
    <w:link w:val="Heading6"/>
    <w:rsid w:val="00670C79"/>
    <w:rPr>
      <w:rFonts w:ascii="Times New Roman" w:eastAsia="Times New Roman" w:hAnsi="Times New Roman" w:cs="Times New Roman"/>
      <w:b/>
      <w:sz w:val="28"/>
      <w:szCs w:val="24"/>
      <w:lang w:val="ro-RO"/>
    </w:rPr>
  </w:style>
  <w:style w:type="paragraph" w:styleId="BodyTextIndent2">
    <w:name w:val="Body Text Indent 2"/>
    <w:basedOn w:val="Normal"/>
    <w:link w:val="BodyTextIndent2Char"/>
    <w:semiHidden/>
    <w:rsid w:val="00670C79"/>
    <w:pPr>
      <w:spacing w:before="120" w:after="120" w:line="360" w:lineRule="auto"/>
      <w:ind w:firstLine="357"/>
    </w:pPr>
    <w:rPr>
      <w:b/>
      <w:bCs/>
      <w:sz w:val="28"/>
    </w:rPr>
  </w:style>
  <w:style w:type="character" w:customStyle="1" w:styleId="BodyTextIndent2Char">
    <w:name w:val="Body Text Indent 2 Char"/>
    <w:basedOn w:val="DefaultParagraphFont"/>
    <w:link w:val="BodyTextIndent2"/>
    <w:semiHidden/>
    <w:rsid w:val="00670C79"/>
    <w:rPr>
      <w:rFonts w:ascii="Times New Roman" w:eastAsia="Times New Roman" w:hAnsi="Times New Roman" w:cs="Times New Roman"/>
      <w:b/>
      <w:bCs/>
      <w:sz w:val="28"/>
      <w:szCs w:val="24"/>
      <w:lang w:val="ro-RO"/>
    </w:rPr>
  </w:style>
  <w:style w:type="paragraph" w:styleId="BodyText2">
    <w:name w:val="Body Text 2"/>
    <w:basedOn w:val="Normal"/>
    <w:link w:val="BodyText2Char"/>
    <w:semiHidden/>
    <w:rsid w:val="00670C79"/>
    <w:pPr>
      <w:jc w:val="both"/>
    </w:pPr>
    <w:rPr>
      <w:sz w:val="28"/>
    </w:rPr>
  </w:style>
  <w:style w:type="character" w:customStyle="1" w:styleId="BodyText2Char">
    <w:name w:val="Body Text 2 Char"/>
    <w:basedOn w:val="DefaultParagraphFont"/>
    <w:link w:val="BodyText2"/>
    <w:semiHidden/>
    <w:rsid w:val="00670C79"/>
    <w:rPr>
      <w:rFonts w:ascii="Times New Roman" w:eastAsia="Times New Roman" w:hAnsi="Times New Roman" w:cs="Times New Roman"/>
      <w:sz w:val="28"/>
      <w:szCs w:val="24"/>
      <w:lang w:val="ro-RO"/>
    </w:rPr>
  </w:style>
  <w:style w:type="paragraph" w:styleId="Title">
    <w:name w:val="Title"/>
    <w:basedOn w:val="Normal"/>
    <w:link w:val="TitleChar"/>
    <w:qFormat/>
    <w:rsid w:val="00670C79"/>
    <w:pPr>
      <w:spacing w:line="360" w:lineRule="auto"/>
      <w:jc w:val="center"/>
    </w:pPr>
    <w:rPr>
      <w:b/>
      <w:sz w:val="32"/>
      <w:szCs w:val="32"/>
    </w:rPr>
  </w:style>
  <w:style w:type="character" w:customStyle="1" w:styleId="TitleChar">
    <w:name w:val="Title Char"/>
    <w:basedOn w:val="DefaultParagraphFont"/>
    <w:link w:val="Title"/>
    <w:rsid w:val="00670C79"/>
    <w:rPr>
      <w:rFonts w:ascii="Times New Roman" w:eastAsia="Times New Roman" w:hAnsi="Times New Roman" w:cs="Times New Roman"/>
      <w:b/>
      <w:sz w:val="32"/>
      <w:szCs w:val="32"/>
      <w:lang w:val="ro-RO"/>
    </w:rPr>
  </w:style>
  <w:style w:type="paragraph" w:styleId="Footer">
    <w:name w:val="footer"/>
    <w:basedOn w:val="Normal"/>
    <w:link w:val="FooterChar"/>
    <w:uiPriority w:val="99"/>
    <w:rsid w:val="00670C79"/>
    <w:pPr>
      <w:tabs>
        <w:tab w:val="center" w:pos="4536"/>
        <w:tab w:val="right" w:pos="9072"/>
      </w:tabs>
    </w:pPr>
  </w:style>
  <w:style w:type="character" w:customStyle="1" w:styleId="FooterChar">
    <w:name w:val="Footer Char"/>
    <w:basedOn w:val="DefaultParagraphFont"/>
    <w:link w:val="Footer"/>
    <w:uiPriority w:val="99"/>
    <w:rsid w:val="00670C79"/>
    <w:rPr>
      <w:rFonts w:ascii="Times New Roman" w:eastAsia="Times New Roman" w:hAnsi="Times New Roman" w:cs="Times New Roman"/>
      <w:sz w:val="24"/>
      <w:szCs w:val="24"/>
      <w:lang w:val="ro-RO"/>
    </w:rPr>
  </w:style>
  <w:style w:type="character" w:styleId="PageNumber">
    <w:name w:val="page number"/>
    <w:basedOn w:val="DefaultParagraphFont"/>
    <w:rsid w:val="00670C79"/>
  </w:style>
  <w:style w:type="table" w:styleId="TableGrid">
    <w:name w:val="Table Grid"/>
    <w:basedOn w:val="TableNormal"/>
    <w:uiPriority w:val="59"/>
    <w:rsid w:val="00670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7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670C79"/>
    <w:rPr>
      <w:rFonts w:ascii="Courier New" w:eastAsia="Times New Roman" w:hAnsi="Courier New" w:cs="Courier New"/>
      <w:sz w:val="20"/>
      <w:szCs w:val="20"/>
      <w:lang w:val="ro-RO" w:eastAsia="ro-RO"/>
    </w:rPr>
  </w:style>
  <w:style w:type="paragraph" w:styleId="NoSpacing">
    <w:name w:val="No Spacing"/>
    <w:link w:val="NoSpacingChar"/>
    <w:qFormat/>
    <w:rsid w:val="00966D02"/>
    <w:pPr>
      <w:spacing w:after="0" w:line="240" w:lineRule="auto"/>
    </w:pPr>
    <w:rPr>
      <w:rFonts w:ascii="Calibri" w:eastAsia="Calibri" w:hAnsi="Calibri" w:cs="Times New Roman"/>
    </w:rPr>
  </w:style>
  <w:style w:type="character" w:customStyle="1" w:styleId="NoSpacingChar">
    <w:name w:val="No Spacing Char"/>
    <w:link w:val="NoSpacing"/>
    <w:locked/>
    <w:rsid w:val="00966D02"/>
    <w:rPr>
      <w:rFonts w:ascii="Calibri" w:eastAsia="Calibri" w:hAnsi="Calibri" w:cs="Times New Roman"/>
    </w:rPr>
  </w:style>
  <w:style w:type="paragraph" w:styleId="BalloonText">
    <w:name w:val="Balloon Text"/>
    <w:basedOn w:val="Normal"/>
    <w:link w:val="BalloonTextChar"/>
    <w:uiPriority w:val="99"/>
    <w:semiHidden/>
    <w:unhideWhenUsed/>
    <w:rsid w:val="00BA4E0F"/>
    <w:rPr>
      <w:rFonts w:ascii="Tahoma" w:hAnsi="Tahoma" w:cs="Tahoma"/>
      <w:sz w:val="16"/>
      <w:szCs w:val="16"/>
    </w:rPr>
  </w:style>
  <w:style w:type="character" w:customStyle="1" w:styleId="BalloonTextChar">
    <w:name w:val="Balloon Text Char"/>
    <w:basedOn w:val="DefaultParagraphFont"/>
    <w:link w:val="BalloonText"/>
    <w:uiPriority w:val="99"/>
    <w:semiHidden/>
    <w:rsid w:val="00BA4E0F"/>
    <w:rPr>
      <w:rFonts w:ascii="Tahoma" w:eastAsia="Times New Roman" w:hAnsi="Tahoma" w:cs="Tahoma"/>
      <w:sz w:val="16"/>
      <w:szCs w:val="16"/>
      <w:lang w:val="ro-RO"/>
    </w:rPr>
  </w:style>
  <w:style w:type="character" w:styleId="CommentReference">
    <w:name w:val="annotation reference"/>
    <w:basedOn w:val="DefaultParagraphFont"/>
    <w:unhideWhenUsed/>
    <w:rsid w:val="00CE7B3A"/>
    <w:rPr>
      <w:sz w:val="16"/>
      <w:szCs w:val="16"/>
    </w:rPr>
  </w:style>
  <w:style w:type="paragraph" w:styleId="CommentText">
    <w:name w:val="annotation text"/>
    <w:basedOn w:val="Normal"/>
    <w:link w:val="CommentTextChar"/>
    <w:uiPriority w:val="99"/>
    <w:unhideWhenUsed/>
    <w:rsid w:val="00CE7B3A"/>
    <w:rPr>
      <w:sz w:val="20"/>
      <w:szCs w:val="20"/>
    </w:rPr>
  </w:style>
  <w:style w:type="character" w:customStyle="1" w:styleId="CommentTextChar">
    <w:name w:val="Comment Text Char"/>
    <w:basedOn w:val="DefaultParagraphFont"/>
    <w:link w:val="CommentText"/>
    <w:uiPriority w:val="99"/>
    <w:rsid w:val="00CE7B3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E7B3A"/>
    <w:rPr>
      <w:b/>
      <w:bCs/>
    </w:rPr>
  </w:style>
  <w:style w:type="character" w:customStyle="1" w:styleId="CommentSubjectChar">
    <w:name w:val="Comment Subject Char"/>
    <w:basedOn w:val="CommentTextChar"/>
    <w:link w:val="CommentSubject"/>
    <w:uiPriority w:val="99"/>
    <w:semiHidden/>
    <w:rsid w:val="00CE7B3A"/>
    <w:rPr>
      <w:rFonts w:ascii="Times New Roman" w:eastAsia="Times New Roman" w:hAnsi="Times New Roman" w:cs="Times New Roman"/>
      <w:b/>
      <w:bCs/>
      <w:sz w:val="20"/>
      <w:szCs w:val="20"/>
      <w:lang w:val="ro-RO"/>
    </w:rPr>
  </w:style>
  <w:style w:type="character" w:customStyle="1" w:styleId="Heading3Char">
    <w:name w:val="Heading 3 Char"/>
    <w:basedOn w:val="DefaultParagraphFont"/>
    <w:link w:val="Heading3"/>
    <w:uiPriority w:val="9"/>
    <w:rsid w:val="00C01DF1"/>
    <w:rPr>
      <w:rFonts w:asciiTheme="majorHAnsi" w:eastAsiaTheme="majorEastAsia" w:hAnsiTheme="majorHAnsi" w:cstheme="majorBidi"/>
      <w:b/>
      <w:bCs/>
      <w:color w:val="5B9BD5" w:themeColor="accent1"/>
      <w:sz w:val="24"/>
      <w:szCs w:val="24"/>
      <w:lang w:val="ro-RO"/>
    </w:rPr>
  </w:style>
  <w:style w:type="paragraph" w:styleId="ListParagraph">
    <w:name w:val="List Paragraph"/>
    <w:aliases w:val="Normal bullet 2,List Paragraph1,List1,body 2,List Paragraph11,Listă colorată - Accentuare 11,Bullet,Citation List,Forth level"/>
    <w:basedOn w:val="Normal"/>
    <w:link w:val="ListParagraphChar"/>
    <w:uiPriority w:val="34"/>
    <w:qFormat/>
    <w:rsid w:val="00CD681E"/>
    <w:pPr>
      <w:ind w:left="720"/>
      <w:contextualSpacing/>
    </w:pPr>
    <w:rPr>
      <w:rFonts w:asciiTheme="minorHAnsi" w:eastAsiaTheme="minorHAnsi" w:hAnsiTheme="minorHAnsi" w:cstheme="minorBidi"/>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
    <w:link w:val="ListParagraph"/>
    <w:uiPriority w:val="99"/>
    <w:locked/>
    <w:rsid w:val="009B71DC"/>
    <w:rPr>
      <w:sz w:val="24"/>
      <w:szCs w:val="24"/>
      <w:lang w:val="ro-RO"/>
    </w:rPr>
  </w:style>
  <w:style w:type="character" w:customStyle="1" w:styleId="ColorfulList-Accent1Char">
    <w:name w:val="Colorful List - Accent 1 Char"/>
    <w:link w:val="ColorfulList-Accent1"/>
    <w:uiPriority w:val="34"/>
    <w:locked/>
    <w:rsid w:val="009B71DC"/>
    <w:rPr>
      <w:noProof/>
      <w:sz w:val="24"/>
      <w:szCs w:val="24"/>
      <w:lang w:val="ro-RO"/>
    </w:rPr>
  </w:style>
  <w:style w:type="table" w:styleId="ColorfulList-Accent1">
    <w:name w:val="Colorful List Accent 1"/>
    <w:basedOn w:val="TableNormal"/>
    <w:link w:val="ColorfulList-Accent1Char"/>
    <w:uiPriority w:val="34"/>
    <w:rsid w:val="009B71DC"/>
    <w:pPr>
      <w:spacing w:after="0" w:line="240" w:lineRule="auto"/>
    </w:pPr>
    <w:rPr>
      <w:noProof/>
      <w:sz w:val="24"/>
      <w:szCs w:val="24"/>
      <w:lang w:val="ro-RO"/>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BA47F0"/>
    <w:pPr>
      <w:tabs>
        <w:tab w:val="center" w:pos="4536"/>
        <w:tab w:val="right" w:pos="9072"/>
      </w:tabs>
    </w:pPr>
  </w:style>
  <w:style w:type="character" w:customStyle="1" w:styleId="HeaderChar">
    <w:name w:val="Header Char"/>
    <w:basedOn w:val="DefaultParagraphFont"/>
    <w:link w:val="Header"/>
    <w:uiPriority w:val="99"/>
    <w:rsid w:val="00BA47F0"/>
    <w:rPr>
      <w:rFonts w:ascii="Times New Roman" w:eastAsia="Times New Roman" w:hAnsi="Times New Roman" w:cs="Times New Roman"/>
      <w:sz w:val="24"/>
      <w:szCs w:val="24"/>
      <w:lang w:val="ro-RO"/>
    </w:rPr>
  </w:style>
  <w:style w:type="character" w:customStyle="1" w:styleId="panchor">
    <w:name w:val="panchor"/>
    <w:basedOn w:val="DefaultParagraphFont"/>
    <w:rsid w:val="00161A61"/>
  </w:style>
  <w:style w:type="character" w:styleId="Hyperlink">
    <w:name w:val="Hyperlink"/>
    <w:basedOn w:val="DefaultParagraphFont"/>
    <w:uiPriority w:val="99"/>
    <w:unhideWhenUsed/>
    <w:rsid w:val="001B7961"/>
    <w:rPr>
      <w:color w:val="0000FF"/>
      <w:u w:val="single"/>
    </w:rPr>
  </w:style>
  <w:style w:type="character" w:customStyle="1" w:styleId="slgi">
    <w:name w:val="s_lgi"/>
    <w:basedOn w:val="DefaultParagraphFont"/>
    <w:rsid w:val="00EF067B"/>
  </w:style>
  <w:style w:type="paragraph" w:styleId="Revision">
    <w:name w:val="Revision"/>
    <w:hidden/>
    <w:uiPriority w:val="99"/>
    <w:semiHidden/>
    <w:rsid w:val="00E51892"/>
    <w:pPr>
      <w:spacing w:after="0" w:line="240" w:lineRule="auto"/>
    </w:pPr>
    <w:rPr>
      <w:rFonts w:ascii="Times New Roman" w:eastAsia="Times New Roman" w:hAnsi="Times New Roman" w:cs="Times New Roman"/>
      <w:sz w:val="24"/>
      <w:szCs w:val="24"/>
      <w:lang w:val="ro-RO"/>
    </w:rPr>
  </w:style>
  <w:style w:type="table" w:customStyle="1" w:styleId="TableGrid1">
    <w:name w:val="Table Grid1"/>
    <w:basedOn w:val="TableNormal"/>
    <w:next w:val="TableGrid"/>
    <w:uiPriority w:val="59"/>
    <w:rsid w:val="00357F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561EC"/>
    <w:rPr>
      <w:color w:val="605E5C"/>
      <w:shd w:val="clear" w:color="auto" w:fill="E1DFDD"/>
    </w:rPr>
  </w:style>
  <w:style w:type="paragraph" w:customStyle="1" w:styleId="Default">
    <w:name w:val="Default"/>
    <w:rsid w:val="00406B07"/>
    <w:pPr>
      <w:autoSpaceDE w:val="0"/>
      <w:autoSpaceDN w:val="0"/>
      <w:adjustRightInd w:val="0"/>
      <w:spacing w:after="0" w:line="240" w:lineRule="auto"/>
    </w:pPr>
    <w:rPr>
      <w:rFonts w:ascii="EUAlbertina" w:hAnsi="EUAlbertina" w:cs="EUAlbertina"/>
      <w:color w:val="000000"/>
      <w:sz w:val="24"/>
      <w:szCs w:val="24"/>
    </w:rPr>
  </w:style>
  <w:style w:type="character" w:customStyle="1" w:styleId="l5def1">
    <w:name w:val="l5def1"/>
    <w:rsid w:val="004E44C4"/>
    <w:rPr>
      <w:rFonts w:ascii="Arial" w:hAnsi="Arial" w:cs="Arial" w:hint="default"/>
      <w:color w:val="000000"/>
      <w:sz w:val="26"/>
      <w:szCs w:val="26"/>
    </w:rPr>
  </w:style>
  <w:style w:type="paragraph" w:customStyle="1" w:styleId="CaracterCaracterCaracterCharCaracter4">
    <w:name w:val="Caracter Caracter Caracter Char Caracter4"/>
    <w:basedOn w:val="Normal"/>
    <w:rsid w:val="004E44C4"/>
    <w:rPr>
      <w:rFonts w:ascii="Calibri" w:eastAsia="Calibri" w:hAnsi="Calibri" w:cs="Calibri"/>
      <w:lang w:val="pl-PL" w:eastAsia="pl-PL"/>
    </w:rPr>
  </w:style>
  <w:style w:type="character" w:customStyle="1" w:styleId="normaltextrun">
    <w:name w:val="normaltextrun"/>
    <w:basedOn w:val="DefaultParagraphFont"/>
    <w:rsid w:val="004E44C4"/>
  </w:style>
  <w:style w:type="table" w:customStyle="1" w:styleId="TableGrid2">
    <w:name w:val="Table Grid2"/>
    <w:basedOn w:val="TableNormal"/>
    <w:next w:val="TableGrid"/>
    <w:rsid w:val="00223CD1"/>
    <w:pPr>
      <w:spacing w:after="0" w:line="240" w:lineRule="auto"/>
    </w:pPr>
    <w:rPr>
      <w:rFonts w:ascii="Calibri" w:eastAsia="Times New Roman" w:hAnsi="Calibri" w:cs="Calibri"/>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94EC7"/>
    <w:pPr>
      <w:spacing w:before="100" w:beforeAutospacing="1" w:after="100" w:afterAutospacing="1"/>
    </w:pPr>
  </w:style>
  <w:style w:type="paragraph" w:styleId="FootnoteText">
    <w:name w:val="footnote text"/>
    <w:basedOn w:val="Normal"/>
    <w:link w:val="FootnoteTextChar"/>
    <w:uiPriority w:val="99"/>
    <w:semiHidden/>
    <w:unhideWhenUsed/>
    <w:rsid w:val="00C1395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1395A"/>
    <w:rPr>
      <w:sz w:val="20"/>
      <w:szCs w:val="20"/>
      <w:lang w:val="ro-RO"/>
    </w:rPr>
  </w:style>
  <w:style w:type="character" w:styleId="FootnoteReference">
    <w:name w:val="footnote reference"/>
    <w:rsid w:val="00C13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5865">
      <w:bodyDiv w:val="1"/>
      <w:marLeft w:val="0"/>
      <w:marRight w:val="0"/>
      <w:marTop w:val="0"/>
      <w:marBottom w:val="0"/>
      <w:divBdr>
        <w:top w:val="none" w:sz="0" w:space="0" w:color="auto"/>
        <w:left w:val="none" w:sz="0" w:space="0" w:color="auto"/>
        <w:bottom w:val="none" w:sz="0" w:space="0" w:color="auto"/>
        <w:right w:val="none" w:sz="0" w:space="0" w:color="auto"/>
      </w:divBdr>
    </w:div>
    <w:div w:id="168638186">
      <w:bodyDiv w:val="1"/>
      <w:marLeft w:val="0"/>
      <w:marRight w:val="0"/>
      <w:marTop w:val="0"/>
      <w:marBottom w:val="0"/>
      <w:divBdr>
        <w:top w:val="none" w:sz="0" w:space="0" w:color="auto"/>
        <w:left w:val="none" w:sz="0" w:space="0" w:color="auto"/>
        <w:bottom w:val="none" w:sz="0" w:space="0" w:color="auto"/>
        <w:right w:val="none" w:sz="0" w:space="0" w:color="auto"/>
      </w:divBdr>
    </w:div>
    <w:div w:id="186409884">
      <w:bodyDiv w:val="1"/>
      <w:marLeft w:val="0"/>
      <w:marRight w:val="0"/>
      <w:marTop w:val="0"/>
      <w:marBottom w:val="0"/>
      <w:divBdr>
        <w:top w:val="none" w:sz="0" w:space="0" w:color="auto"/>
        <w:left w:val="none" w:sz="0" w:space="0" w:color="auto"/>
        <w:bottom w:val="none" w:sz="0" w:space="0" w:color="auto"/>
        <w:right w:val="none" w:sz="0" w:space="0" w:color="auto"/>
      </w:divBdr>
    </w:div>
    <w:div w:id="196622305">
      <w:bodyDiv w:val="1"/>
      <w:marLeft w:val="0"/>
      <w:marRight w:val="0"/>
      <w:marTop w:val="0"/>
      <w:marBottom w:val="0"/>
      <w:divBdr>
        <w:top w:val="none" w:sz="0" w:space="0" w:color="auto"/>
        <w:left w:val="none" w:sz="0" w:space="0" w:color="auto"/>
        <w:bottom w:val="none" w:sz="0" w:space="0" w:color="auto"/>
        <w:right w:val="none" w:sz="0" w:space="0" w:color="auto"/>
      </w:divBdr>
    </w:div>
    <w:div w:id="264387125">
      <w:bodyDiv w:val="1"/>
      <w:marLeft w:val="0"/>
      <w:marRight w:val="0"/>
      <w:marTop w:val="0"/>
      <w:marBottom w:val="0"/>
      <w:divBdr>
        <w:top w:val="none" w:sz="0" w:space="0" w:color="auto"/>
        <w:left w:val="none" w:sz="0" w:space="0" w:color="auto"/>
        <w:bottom w:val="none" w:sz="0" w:space="0" w:color="auto"/>
        <w:right w:val="none" w:sz="0" w:space="0" w:color="auto"/>
      </w:divBdr>
    </w:div>
    <w:div w:id="274027299">
      <w:bodyDiv w:val="1"/>
      <w:marLeft w:val="0"/>
      <w:marRight w:val="0"/>
      <w:marTop w:val="0"/>
      <w:marBottom w:val="0"/>
      <w:divBdr>
        <w:top w:val="none" w:sz="0" w:space="0" w:color="auto"/>
        <w:left w:val="none" w:sz="0" w:space="0" w:color="auto"/>
        <w:bottom w:val="none" w:sz="0" w:space="0" w:color="auto"/>
        <w:right w:val="none" w:sz="0" w:space="0" w:color="auto"/>
      </w:divBdr>
    </w:div>
    <w:div w:id="341670646">
      <w:bodyDiv w:val="1"/>
      <w:marLeft w:val="0"/>
      <w:marRight w:val="0"/>
      <w:marTop w:val="0"/>
      <w:marBottom w:val="0"/>
      <w:divBdr>
        <w:top w:val="none" w:sz="0" w:space="0" w:color="auto"/>
        <w:left w:val="none" w:sz="0" w:space="0" w:color="auto"/>
        <w:bottom w:val="none" w:sz="0" w:space="0" w:color="auto"/>
        <w:right w:val="none" w:sz="0" w:space="0" w:color="auto"/>
      </w:divBdr>
    </w:div>
    <w:div w:id="373122914">
      <w:bodyDiv w:val="1"/>
      <w:marLeft w:val="0"/>
      <w:marRight w:val="0"/>
      <w:marTop w:val="0"/>
      <w:marBottom w:val="0"/>
      <w:divBdr>
        <w:top w:val="none" w:sz="0" w:space="0" w:color="auto"/>
        <w:left w:val="none" w:sz="0" w:space="0" w:color="auto"/>
        <w:bottom w:val="none" w:sz="0" w:space="0" w:color="auto"/>
        <w:right w:val="none" w:sz="0" w:space="0" w:color="auto"/>
      </w:divBdr>
    </w:div>
    <w:div w:id="398329692">
      <w:bodyDiv w:val="1"/>
      <w:marLeft w:val="0"/>
      <w:marRight w:val="0"/>
      <w:marTop w:val="0"/>
      <w:marBottom w:val="0"/>
      <w:divBdr>
        <w:top w:val="none" w:sz="0" w:space="0" w:color="auto"/>
        <w:left w:val="none" w:sz="0" w:space="0" w:color="auto"/>
        <w:bottom w:val="none" w:sz="0" w:space="0" w:color="auto"/>
        <w:right w:val="none" w:sz="0" w:space="0" w:color="auto"/>
      </w:divBdr>
    </w:div>
    <w:div w:id="435490971">
      <w:bodyDiv w:val="1"/>
      <w:marLeft w:val="0"/>
      <w:marRight w:val="0"/>
      <w:marTop w:val="0"/>
      <w:marBottom w:val="0"/>
      <w:divBdr>
        <w:top w:val="none" w:sz="0" w:space="0" w:color="auto"/>
        <w:left w:val="none" w:sz="0" w:space="0" w:color="auto"/>
        <w:bottom w:val="none" w:sz="0" w:space="0" w:color="auto"/>
        <w:right w:val="none" w:sz="0" w:space="0" w:color="auto"/>
      </w:divBdr>
    </w:div>
    <w:div w:id="472066420">
      <w:bodyDiv w:val="1"/>
      <w:marLeft w:val="0"/>
      <w:marRight w:val="0"/>
      <w:marTop w:val="0"/>
      <w:marBottom w:val="0"/>
      <w:divBdr>
        <w:top w:val="none" w:sz="0" w:space="0" w:color="auto"/>
        <w:left w:val="none" w:sz="0" w:space="0" w:color="auto"/>
        <w:bottom w:val="none" w:sz="0" w:space="0" w:color="auto"/>
        <w:right w:val="none" w:sz="0" w:space="0" w:color="auto"/>
      </w:divBdr>
    </w:div>
    <w:div w:id="648753987">
      <w:bodyDiv w:val="1"/>
      <w:marLeft w:val="0"/>
      <w:marRight w:val="0"/>
      <w:marTop w:val="0"/>
      <w:marBottom w:val="0"/>
      <w:divBdr>
        <w:top w:val="none" w:sz="0" w:space="0" w:color="auto"/>
        <w:left w:val="none" w:sz="0" w:space="0" w:color="auto"/>
        <w:bottom w:val="none" w:sz="0" w:space="0" w:color="auto"/>
        <w:right w:val="none" w:sz="0" w:space="0" w:color="auto"/>
      </w:divBdr>
    </w:div>
    <w:div w:id="655841619">
      <w:bodyDiv w:val="1"/>
      <w:marLeft w:val="0"/>
      <w:marRight w:val="0"/>
      <w:marTop w:val="0"/>
      <w:marBottom w:val="0"/>
      <w:divBdr>
        <w:top w:val="none" w:sz="0" w:space="0" w:color="auto"/>
        <w:left w:val="none" w:sz="0" w:space="0" w:color="auto"/>
        <w:bottom w:val="none" w:sz="0" w:space="0" w:color="auto"/>
        <w:right w:val="none" w:sz="0" w:space="0" w:color="auto"/>
      </w:divBdr>
    </w:div>
    <w:div w:id="724794826">
      <w:bodyDiv w:val="1"/>
      <w:marLeft w:val="0"/>
      <w:marRight w:val="0"/>
      <w:marTop w:val="0"/>
      <w:marBottom w:val="0"/>
      <w:divBdr>
        <w:top w:val="none" w:sz="0" w:space="0" w:color="auto"/>
        <w:left w:val="none" w:sz="0" w:space="0" w:color="auto"/>
        <w:bottom w:val="none" w:sz="0" w:space="0" w:color="auto"/>
        <w:right w:val="none" w:sz="0" w:space="0" w:color="auto"/>
      </w:divBdr>
    </w:div>
    <w:div w:id="821700759">
      <w:bodyDiv w:val="1"/>
      <w:marLeft w:val="0"/>
      <w:marRight w:val="0"/>
      <w:marTop w:val="0"/>
      <w:marBottom w:val="0"/>
      <w:divBdr>
        <w:top w:val="none" w:sz="0" w:space="0" w:color="auto"/>
        <w:left w:val="none" w:sz="0" w:space="0" w:color="auto"/>
        <w:bottom w:val="none" w:sz="0" w:space="0" w:color="auto"/>
        <w:right w:val="none" w:sz="0" w:space="0" w:color="auto"/>
      </w:divBdr>
    </w:div>
    <w:div w:id="1022050013">
      <w:bodyDiv w:val="1"/>
      <w:marLeft w:val="0"/>
      <w:marRight w:val="0"/>
      <w:marTop w:val="0"/>
      <w:marBottom w:val="0"/>
      <w:divBdr>
        <w:top w:val="none" w:sz="0" w:space="0" w:color="auto"/>
        <w:left w:val="none" w:sz="0" w:space="0" w:color="auto"/>
        <w:bottom w:val="none" w:sz="0" w:space="0" w:color="auto"/>
        <w:right w:val="none" w:sz="0" w:space="0" w:color="auto"/>
      </w:divBdr>
    </w:div>
    <w:div w:id="1069763157">
      <w:bodyDiv w:val="1"/>
      <w:marLeft w:val="0"/>
      <w:marRight w:val="0"/>
      <w:marTop w:val="0"/>
      <w:marBottom w:val="0"/>
      <w:divBdr>
        <w:top w:val="none" w:sz="0" w:space="0" w:color="auto"/>
        <w:left w:val="none" w:sz="0" w:space="0" w:color="auto"/>
        <w:bottom w:val="none" w:sz="0" w:space="0" w:color="auto"/>
        <w:right w:val="none" w:sz="0" w:space="0" w:color="auto"/>
      </w:divBdr>
    </w:div>
    <w:div w:id="1114708165">
      <w:bodyDiv w:val="1"/>
      <w:marLeft w:val="0"/>
      <w:marRight w:val="0"/>
      <w:marTop w:val="0"/>
      <w:marBottom w:val="0"/>
      <w:divBdr>
        <w:top w:val="none" w:sz="0" w:space="0" w:color="auto"/>
        <w:left w:val="none" w:sz="0" w:space="0" w:color="auto"/>
        <w:bottom w:val="none" w:sz="0" w:space="0" w:color="auto"/>
        <w:right w:val="none" w:sz="0" w:space="0" w:color="auto"/>
      </w:divBdr>
    </w:div>
    <w:div w:id="1135099875">
      <w:bodyDiv w:val="1"/>
      <w:marLeft w:val="0"/>
      <w:marRight w:val="0"/>
      <w:marTop w:val="0"/>
      <w:marBottom w:val="0"/>
      <w:divBdr>
        <w:top w:val="none" w:sz="0" w:space="0" w:color="auto"/>
        <w:left w:val="none" w:sz="0" w:space="0" w:color="auto"/>
        <w:bottom w:val="none" w:sz="0" w:space="0" w:color="auto"/>
        <w:right w:val="none" w:sz="0" w:space="0" w:color="auto"/>
      </w:divBdr>
    </w:div>
    <w:div w:id="1137842082">
      <w:bodyDiv w:val="1"/>
      <w:marLeft w:val="0"/>
      <w:marRight w:val="0"/>
      <w:marTop w:val="0"/>
      <w:marBottom w:val="0"/>
      <w:divBdr>
        <w:top w:val="none" w:sz="0" w:space="0" w:color="auto"/>
        <w:left w:val="none" w:sz="0" w:space="0" w:color="auto"/>
        <w:bottom w:val="none" w:sz="0" w:space="0" w:color="auto"/>
        <w:right w:val="none" w:sz="0" w:space="0" w:color="auto"/>
      </w:divBdr>
    </w:div>
    <w:div w:id="1302812629">
      <w:bodyDiv w:val="1"/>
      <w:marLeft w:val="0"/>
      <w:marRight w:val="0"/>
      <w:marTop w:val="0"/>
      <w:marBottom w:val="0"/>
      <w:divBdr>
        <w:top w:val="none" w:sz="0" w:space="0" w:color="auto"/>
        <w:left w:val="none" w:sz="0" w:space="0" w:color="auto"/>
        <w:bottom w:val="none" w:sz="0" w:space="0" w:color="auto"/>
        <w:right w:val="none" w:sz="0" w:space="0" w:color="auto"/>
      </w:divBdr>
    </w:div>
    <w:div w:id="1327518847">
      <w:bodyDiv w:val="1"/>
      <w:marLeft w:val="0"/>
      <w:marRight w:val="0"/>
      <w:marTop w:val="0"/>
      <w:marBottom w:val="0"/>
      <w:divBdr>
        <w:top w:val="none" w:sz="0" w:space="0" w:color="auto"/>
        <w:left w:val="none" w:sz="0" w:space="0" w:color="auto"/>
        <w:bottom w:val="none" w:sz="0" w:space="0" w:color="auto"/>
        <w:right w:val="none" w:sz="0" w:space="0" w:color="auto"/>
      </w:divBdr>
    </w:div>
    <w:div w:id="1413354410">
      <w:bodyDiv w:val="1"/>
      <w:marLeft w:val="0"/>
      <w:marRight w:val="0"/>
      <w:marTop w:val="0"/>
      <w:marBottom w:val="0"/>
      <w:divBdr>
        <w:top w:val="none" w:sz="0" w:space="0" w:color="auto"/>
        <w:left w:val="none" w:sz="0" w:space="0" w:color="auto"/>
        <w:bottom w:val="none" w:sz="0" w:space="0" w:color="auto"/>
        <w:right w:val="none" w:sz="0" w:space="0" w:color="auto"/>
      </w:divBdr>
    </w:div>
    <w:div w:id="1470589820">
      <w:bodyDiv w:val="1"/>
      <w:marLeft w:val="0"/>
      <w:marRight w:val="0"/>
      <w:marTop w:val="0"/>
      <w:marBottom w:val="0"/>
      <w:divBdr>
        <w:top w:val="none" w:sz="0" w:space="0" w:color="auto"/>
        <w:left w:val="none" w:sz="0" w:space="0" w:color="auto"/>
        <w:bottom w:val="none" w:sz="0" w:space="0" w:color="auto"/>
        <w:right w:val="none" w:sz="0" w:space="0" w:color="auto"/>
      </w:divBdr>
    </w:div>
    <w:div w:id="1484353612">
      <w:bodyDiv w:val="1"/>
      <w:marLeft w:val="0"/>
      <w:marRight w:val="0"/>
      <w:marTop w:val="0"/>
      <w:marBottom w:val="0"/>
      <w:divBdr>
        <w:top w:val="none" w:sz="0" w:space="0" w:color="auto"/>
        <w:left w:val="none" w:sz="0" w:space="0" w:color="auto"/>
        <w:bottom w:val="none" w:sz="0" w:space="0" w:color="auto"/>
        <w:right w:val="none" w:sz="0" w:space="0" w:color="auto"/>
      </w:divBdr>
    </w:div>
    <w:div w:id="1487282297">
      <w:bodyDiv w:val="1"/>
      <w:marLeft w:val="0"/>
      <w:marRight w:val="0"/>
      <w:marTop w:val="0"/>
      <w:marBottom w:val="0"/>
      <w:divBdr>
        <w:top w:val="none" w:sz="0" w:space="0" w:color="auto"/>
        <w:left w:val="none" w:sz="0" w:space="0" w:color="auto"/>
        <w:bottom w:val="none" w:sz="0" w:space="0" w:color="auto"/>
        <w:right w:val="none" w:sz="0" w:space="0" w:color="auto"/>
      </w:divBdr>
    </w:div>
    <w:div w:id="1576210594">
      <w:bodyDiv w:val="1"/>
      <w:marLeft w:val="0"/>
      <w:marRight w:val="0"/>
      <w:marTop w:val="0"/>
      <w:marBottom w:val="0"/>
      <w:divBdr>
        <w:top w:val="none" w:sz="0" w:space="0" w:color="auto"/>
        <w:left w:val="none" w:sz="0" w:space="0" w:color="auto"/>
        <w:bottom w:val="none" w:sz="0" w:space="0" w:color="auto"/>
        <w:right w:val="none" w:sz="0" w:space="0" w:color="auto"/>
      </w:divBdr>
    </w:div>
    <w:div w:id="1603996462">
      <w:bodyDiv w:val="1"/>
      <w:marLeft w:val="0"/>
      <w:marRight w:val="0"/>
      <w:marTop w:val="0"/>
      <w:marBottom w:val="0"/>
      <w:divBdr>
        <w:top w:val="none" w:sz="0" w:space="0" w:color="auto"/>
        <w:left w:val="none" w:sz="0" w:space="0" w:color="auto"/>
        <w:bottom w:val="none" w:sz="0" w:space="0" w:color="auto"/>
        <w:right w:val="none" w:sz="0" w:space="0" w:color="auto"/>
      </w:divBdr>
    </w:div>
    <w:div w:id="1623031635">
      <w:bodyDiv w:val="1"/>
      <w:marLeft w:val="0"/>
      <w:marRight w:val="0"/>
      <w:marTop w:val="0"/>
      <w:marBottom w:val="0"/>
      <w:divBdr>
        <w:top w:val="none" w:sz="0" w:space="0" w:color="auto"/>
        <w:left w:val="none" w:sz="0" w:space="0" w:color="auto"/>
        <w:bottom w:val="none" w:sz="0" w:space="0" w:color="auto"/>
        <w:right w:val="none" w:sz="0" w:space="0" w:color="auto"/>
      </w:divBdr>
    </w:div>
    <w:div w:id="1659847536">
      <w:bodyDiv w:val="1"/>
      <w:marLeft w:val="0"/>
      <w:marRight w:val="0"/>
      <w:marTop w:val="0"/>
      <w:marBottom w:val="0"/>
      <w:divBdr>
        <w:top w:val="none" w:sz="0" w:space="0" w:color="auto"/>
        <w:left w:val="none" w:sz="0" w:space="0" w:color="auto"/>
        <w:bottom w:val="none" w:sz="0" w:space="0" w:color="auto"/>
        <w:right w:val="none" w:sz="0" w:space="0" w:color="auto"/>
      </w:divBdr>
    </w:div>
    <w:div w:id="1678727019">
      <w:bodyDiv w:val="1"/>
      <w:marLeft w:val="0"/>
      <w:marRight w:val="0"/>
      <w:marTop w:val="0"/>
      <w:marBottom w:val="0"/>
      <w:divBdr>
        <w:top w:val="none" w:sz="0" w:space="0" w:color="auto"/>
        <w:left w:val="none" w:sz="0" w:space="0" w:color="auto"/>
        <w:bottom w:val="none" w:sz="0" w:space="0" w:color="auto"/>
        <w:right w:val="none" w:sz="0" w:space="0" w:color="auto"/>
      </w:divBdr>
    </w:div>
    <w:div w:id="1678927333">
      <w:bodyDiv w:val="1"/>
      <w:marLeft w:val="0"/>
      <w:marRight w:val="0"/>
      <w:marTop w:val="0"/>
      <w:marBottom w:val="0"/>
      <w:divBdr>
        <w:top w:val="none" w:sz="0" w:space="0" w:color="auto"/>
        <w:left w:val="none" w:sz="0" w:space="0" w:color="auto"/>
        <w:bottom w:val="none" w:sz="0" w:space="0" w:color="auto"/>
        <w:right w:val="none" w:sz="0" w:space="0" w:color="auto"/>
      </w:divBdr>
    </w:div>
    <w:div w:id="1700545194">
      <w:bodyDiv w:val="1"/>
      <w:marLeft w:val="0"/>
      <w:marRight w:val="0"/>
      <w:marTop w:val="0"/>
      <w:marBottom w:val="0"/>
      <w:divBdr>
        <w:top w:val="none" w:sz="0" w:space="0" w:color="auto"/>
        <w:left w:val="none" w:sz="0" w:space="0" w:color="auto"/>
        <w:bottom w:val="none" w:sz="0" w:space="0" w:color="auto"/>
        <w:right w:val="none" w:sz="0" w:space="0" w:color="auto"/>
      </w:divBdr>
    </w:div>
    <w:div w:id="1772241865">
      <w:bodyDiv w:val="1"/>
      <w:marLeft w:val="0"/>
      <w:marRight w:val="0"/>
      <w:marTop w:val="0"/>
      <w:marBottom w:val="0"/>
      <w:divBdr>
        <w:top w:val="none" w:sz="0" w:space="0" w:color="auto"/>
        <w:left w:val="none" w:sz="0" w:space="0" w:color="auto"/>
        <w:bottom w:val="none" w:sz="0" w:space="0" w:color="auto"/>
        <w:right w:val="none" w:sz="0" w:space="0" w:color="auto"/>
      </w:divBdr>
    </w:div>
    <w:div w:id="1821916945">
      <w:bodyDiv w:val="1"/>
      <w:marLeft w:val="0"/>
      <w:marRight w:val="0"/>
      <w:marTop w:val="0"/>
      <w:marBottom w:val="0"/>
      <w:divBdr>
        <w:top w:val="none" w:sz="0" w:space="0" w:color="auto"/>
        <w:left w:val="none" w:sz="0" w:space="0" w:color="auto"/>
        <w:bottom w:val="none" w:sz="0" w:space="0" w:color="auto"/>
        <w:right w:val="none" w:sz="0" w:space="0" w:color="auto"/>
      </w:divBdr>
    </w:div>
    <w:div w:id="1845515503">
      <w:bodyDiv w:val="1"/>
      <w:marLeft w:val="0"/>
      <w:marRight w:val="0"/>
      <w:marTop w:val="0"/>
      <w:marBottom w:val="0"/>
      <w:divBdr>
        <w:top w:val="none" w:sz="0" w:space="0" w:color="auto"/>
        <w:left w:val="none" w:sz="0" w:space="0" w:color="auto"/>
        <w:bottom w:val="none" w:sz="0" w:space="0" w:color="auto"/>
        <w:right w:val="none" w:sz="0" w:space="0" w:color="auto"/>
      </w:divBdr>
    </w:div>
    <w:div w:id="1915048623">
      <w:bodyDiv w:val="1"/>
      <w:marLeft w:val="0"/>
      <w:marRight w:val="0"/>
      <w:marTop w:val="0"/>
      <w:marBottom w:val="0"/>
      <w:divBdr>
        <w:top w:val="none" w:sz="0" w:space="0" w:color="auto"/>
        <w:left w:val="none" w:sz="0" w:space="0" w:color="auto"/>
        <w:bottom w:val="none" w:sz="0" w:space="0" w:color="auto"/>
        <w:right w:val="none" w:sz="0" w:space="0" w:color="auto"/>
      </w:divBdr>
    </w:div>
    <w:div w:id="20734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B5F3-42E4-43D4-A27D-8B334EF4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14802</Characters>
  <Application>Microsoft Office Word</Application>
  <DocSecurity>0</DocSecurity>
  <Lines>123</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IULIANA-MIHAELA CERNAZEANU</dc:creator>
  <cp:lastModifiedBy>Dana Salbatecu</cp:lastModifiedBy>
  <cp:revision>2</cp:revision>
  <cp:lastPrinted>2022-10-28T09:04:00Z</cp:lastPrinted>
  <dcterms:created xsi:type="dcterms:W3CDTF">2022-12-08T17:58:00Z</dcterms:created>
  <dcterms:modified xsi:type="dcterms:W3CDTF">2022-12-08T17:58:00Z</dcterms:modified>
</cp:coreProperties>
</file>